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80" w:rsidRDefault="00A05C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5C80" w:rsidRDefault="00A05C80">
      <w:pPr>
        <w:pStyle w:val="ConsPlusNormal"/>
        <w:outlineLvl w:val="0"/>
      </w:pPr>
    </w:p>
    <w:p w:rsidR="00A05C80" w:rsidRDefault="00A05C80">
      <w:pPr>
        <w:pStyle w:val="ConsPlusTitle"/>
        <w:jc w:val="center"/>
        <w:outlineLvl w:val="0"/>
      </w:pPr>
      <w:r>
        <w:t>МИНИСТЕРСТВО УПРАВЛЕНИЯ ФИНАНСАМИ</w:t>
      </w:r>
    </w:p>
    <w:p w:rsidR="00A05C80" w:rsidRDefault="00A05C80">
      <w:pPr>
        <w:pStyle w:val="ConsPlusTitle"/>
        <w:jc w:val="center"/>
      </w:pPr>
      <w:r>
        <w:t>САМАРСКОЙ ОБЛАСТИ</w:t>
      </w:r>
    </w:p>
    <w:p w:rsidR="00A05C80" w:rsidRDefault="00A05C80">
      <w:pPr>
        <w:pStyle w:val="ConsPlusTitle"/>
        <w:jc w:val="center"/>
      </w:pPr>
    </w:p>
    <w:p w:rsidR="00A05C80" w:rsidRDefault="00A05C80">
      <w:pPr>
        <w:pStyle w:val="ConsPlusTitle"/>
        <w:jc w:val="center"/>
      </w:pPr>
      <w:r>
        <w:t>ПРИКАЗ</w:t>
      </w:r>
    </w:p>
    <w:p w:rsidR="00A05C80" w:rsidRDefault="00A05C80">
      <w:pPr>
        <w:pStyle w:val="ConsPlusTitle"/>
        <w:jc w:val="center"/>
      </w:pPr>
      <w:r>
        <w:t>от 3 июля 2008 г. N 01-21/69</w:t>
      </w:r>
    </w:p>
    <w:p w:rsidR="00A05C80" w:rsidRDefault="00A05C80">
      <w:pPr>
        <w:pStyle w:val="ConsPlusNormal"/>
      </w:pPr>
    </w:p>
    <w:p w:rsidR="00A05C80" w:rsidRDefault="00A05C80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Губернатора Самарской области от 18.03.2004 N 64, приказываю: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Порядок</w:t>
        </w:r>
      </w:hyperlink>
      <w:r>
        <w:t xml:space="preserve"> взаимодействия министерства управления финансами Самарской области с главными администраторами (администраторами) доходов областного бюджета.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руководителя департамента исполнения областного бюджета и отчетности А.О. Котякова.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A05C80" w:rsidRDefault="00A05C80">
      <w:pPr>
        <w:pStyle w:val="ConsPlusNormal"/>
        <w:ind w:left="540"/>
        <w:jc w:val="both"/>
      </w:pPr>
    </w:p>
    <w:p w:rsidR="00A05C80" w:rsidRDefault="00A05C80">
      <w:pPr>
        <w:pStyle w:val="ConsPlusNormal"/>
        <w:jc w:val="right"/>
      </w:pPr>
      <w:r>
        <w:t>Министр</w:t>
      </w:r>
    </w:p>
    <w:p w:rsidR="00A05C80" w:rsidRDefault="00A05C80">
      <w:pPr>
        <w:pStyle w:val="ConsPlusNormal"/>
        <w:jc w:val="right"/>
      </w:pPr>
      <w:r>
        <w:t>П.А.ИВАНОВ</w:t>
      </w:r>
    </w:p>
    <w:p w:rsidR="00A05C80" w:rsidRDefault="00A05C80">
      <w:pPr>
        <w:pStyle w:val="ConsPlusNormal"/>
      </w:pPr>
    </w:p>
    <w:p w:rsidR="00A05C80" w:rsidRDefault="00A05C80">
      <w:pPr>
        <w:pStyle w:val="ConsPlusNormal"/>
      </w:pPr>
    </w:p>
    <w:p w:rsidR="00A05C80" w:rsidRDefault="00A05C80">
      <w:pPr>
        <w:pStyle w:val="ConsPlusNormal"/>
      </w:pPr>
    </w:p>
    <w:p w:rsidR="00A05C80" w:rsidRDefault="00A05C80">
      <w:pPr>
        <w:pStyle w:val="ConsPlusNormal"/>
      </w:pPr>
    </w:p>
    <w:p w:rsidR="00A05C80" w:rsidRDefault="00A05C80">
      <w:pPr>
        <w:pStyle w:val="ConsPlusNormal"/>
      </w:pPr>
    </w:p>
    <w:p w:rsidR="00A05C80" w:rsidRDefault="00A05C80">
      <w:pPr>
        <w:pStyle w:val="ConsPlusNormal"/>
        <w:jc w:val="right"/>
        <w:outlineLvl w:val="0"/>
      </w:pPr>
      <w:r>
        <w:t>Утверждено</w:t>
      </w:r>
    </w:p>
    <w:p w:rsidR="00A05C80" w:rsidRDefault="00A05C80">
      <w:pPr>
        <w:pStyle w:val="ConsPlusNormal"/>
        <w:jc w:val="right"/>
      </w:pPr>
      <w:r>
        <w:t>Приказом</w:t>
      </w:r>
    </w:p>
    <w:p w:rsidR="00A05C80" w:rsidRDefault="00A05C80">
      <w:pPr>
        <w:pStyle w:val="ConsPlusNormal"/>
        <w:jc w:val="right"/>
      </w:pPr>
      <w:r>
        <w:t>министерства управления финансами</w:t>
      </w:r>
    </w:p>
    <w:p w:rsidR="00A05C80" w:rsidRDefault="00A05C80">
      <w:pPr>
        <w:pStyle w:val="ConsPlusNormal"/>
        <w:jc w:val="right"/>
      </w:pPr>
      <w:r>
        <w:t>Самарской области</w:t>
      </w:r>
    </w:p>
    <w:p w:rsidR="00A05C80" w:rsidRDefault="00A05C80">
      <w:pPr>
        <w:pStyle w:val="ConsPlusNormal"/>
        <w:jc w:val="right"/>
      </w:pPr>
      <w:r>
        <w:t>от 3 июля 2008 г. N 01-21/69</w:t>
      </w:r>
    </w:p>
    <w:p w:rsidR="00A05C80" w:rsidRDefault="00A05C80">
      <w:pPr>
        <w:pStyle w:val="ConsPlusNormal"/>
        <w:jc w:val="center"/>
      </w:pPr>
    </w:p>
    <w:p w:rsidR="00A05C80" w:rsidRDefault="00A05C80">
      <w:pPr>
        <w:pStyle w:val="ConsPlusTitle"/>
        <w:jc w:val="center"/>
      </w:pPr>
      <w:bookmarkStart w:id="0" w:name="P25"/>
      <w:bookmarkEnd w:id="0"/>
      <w:r>
        <w:t>ПОРЯДОК</w:t>
      </w:r>
    </w:p>
    <w:p w:rsidR="00A05C80" w:rsidRDefault="00A05C80">
      <w:pPr>
        <w:pStyle w:val="ConsPlusTitle"/>
        <w:jc w:val="center"/>
      </w:pPr>
      <w:r>
        <w:t>ВЗАИМОДЕЙСТВИЯ МИНИСТЕРСТВА УПРАВЛЕНИЯ ФИНАНСАМИ</w:t>
      </w:r>
    </w:p>
    <w:p w:rsidR="00A05C80" w:rsidRDefault="00A05C80">
      <w:pPr>
        <w:pStyle w:val="ConsPlusTitle"/>
        <w:jc w:val="center"/>
      </w:pPr>
      <w:r>
        <w:t>САМАРСКОЙ ОБЛАСТИ С ГЛАВНЫМИ АДМИНИСТРАТОРАМИ</w:t>
      </w:r>
    </w:p>
    <w:p w:rsidR="00A05C80" w:rsidRDefault="00A05C80">
      <w:pPr>
        <w:pStyle w:val="ConsPlusTitle"/>
        <w:jc w:val="center"/>
      </w:pPr>
      <w:r>
        <w:t>(АДМИНИСТРАТОРАМИ) ДОХОДОВ ОБЛАСТНОГО БЮДЖЕТА</w:t>
      </w:r>
    </w:p>
    <w:p w:rsidR="00A05C80" w:rsidRDefault="00A05C80">
      <w:pPr>
        <w:pStyle w:val="ConsPlusNormal"/>
      </w:pPr>
    </w:p>
    <w:p w:rsidR="00A05C80" w:rsidRDefault="00A05C80">
      <w:pPr>
        <w:pStyle w:val="ConsPlusNormal"/>
        <w:jc w:val="center"/>
        <w:outlineLvl w:val="1"/>
      </w:pPr>
      <w:r>
        <w:t>1. Общие положения</w:t>
      </w:r>
    </w:p>
    <w:p w:rsidR="00A05C80" w:rsidRDefault="00A05C80">
      <w:pPr>
        <w:pStyle w:val="ConsPlusNormal"/>
        <w:ind w:firstLine="540"/>
        <w:jc w:val="both"/>
      </w:pPr>
    </w:p>
    <w:p w:rsidR="00A05C80" w:rsidRDefault="00A05C8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</w:t>
      </w:r>
      <w:hyperlink r:id="rId6" w:history="1">
        <w:r>
          <w:rPr>
            <w:color w:val="0000FF"/>
          </w:rPr>
          <w:t>пунктами 2.2</w:t>
        </w:r>
      </w:hyperlink>
      <w:r>
        <w:t xml:space="preserve"> и </w:t>
      </w:r>
      <w:hyperlink r:id="rId7" w:history="1">
        <w:r>
          <w:rPr>
            <w:color w:val="0000FF"/>
          </w:rPr>
          <w:t>2.3</w:t>
        </w:r>
      </w:hyperlink>
      <w:r>
        <w:t xml:space="preserve"> Положения о министерстве управления финансами Самарской области, утвержденного постановлением Губернатора Самарской области от 18.03.2004 N 64, в целях определения порядка взаимодействия министерства управления финансами Самарской области (далее - Министерство) с главными администраторами доходов областного бюджета (далее - главные администраторы) по средствам, поступающим в областной бюджет, минуя счет N 40101 "Доходы, распределяемые органами</w:t>
      </w:r>
      <w:proofErr w:type="gramEnd"/>
      <w:r>
        <w:t xml:space="preserve"> Федерального казначейства между уровнями бюджетной системы Российской Федерации".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>1.2. Порядок взаимодействия министерства управления финансами Самарской области с главными администраторами доходов областного бюджета (далее - Порядок) устанавливает сроки, формы и способы передачи информации между Министерством и главными администраторами.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lastRenderedPageBreak/>
        <w:t>1.3. Понятия и термины, используемые в Порядке, применяются в том значении, в котором они определены федеральным законодательством и нормативными правовыми актами Самарской области.</w:t>
      </w:r>
    </w:p>
    <w:p w:rsidR="00A05C80" w:rsidRDefault="00A05C80">
      <w:pPr>
        <w:pStyle w:val="ConsPlusNormal"/>
      </w:pPr>
    </w:p>
    <w:p w:rsidR="00A05C80" w:rsidRDefault="00A05C80">
      <w:pPr>
        <w:pStyle w:val="ConsPlusNormal"/>
        <w:jc w:val="center"/>
        <w:outlineLvl w:val="1"/>
      </w:pPr>
      <w:r>
        <w:t>2. Взаимодействие Министерства с главными администраторами</w:t>
      </w:r>
    </w:p>
    <w:p w:rsidR="00A05C80" w:rsidRDefault="00A05C80">
      <w:pPr>
        <w:pStyle w:val="ConsPlusNormal"/>
      </w:pPr>
    </w:p>
    <w:p w:rsidR="00A05C80" w:rsidRDefault="00A05C80">
      <w:pPr>
        <w:pStyle w:val="ConsPlusNormal"/>
        <w:ind w:firstLine="540"/>
        <w:jc w:val="both"/>
      </w:pPr>
      <w:r>
        <w:t>2.1. Обмен информацией между Министерством и главным администратором осуществляется в электронном виде с использованием электронной цифровой подписи, а при отсутствии соответствующей технической возможности у главного администратора - на бумажном носителе.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 xml:space="preserve">2.2. Ежегодно до начала следующего финансового года, не позднее 1 декабря текущего финансового года, главными администраторами предоставляется </w:t>
      </w:r>
      <w:hyperlink w:anchor="P75" w:history="1">
        <w:r>
          <w:rPr>
            <w:color w:val="0000FF"/>
          </w:rPr>
          <w:t>информация</w:t>
        </w:r>
      </w:hyperlink>
      <w:r>
        <w:t xml:space="preserve"> в Министерство о планируемых безвозмездных поступлениях в областной бюджет с поквартальной разбивкой и указанием кодов бюджетной классификации администрируемых доходов (приложение N 1).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>В случае необходимости уточнения информации о планируемых безвозмездных поступлениях в областной бюджет в течение текущего финансового года главным администратором предоставляются скорректированные данные в Министерство.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 xml:space="preserve">2.3. По мере поступления средств в областной бюджет Министерство направляет главным администраторам </w:t>
      </w:r>
      <w:hyperlink w:anchor="P117" w:history="1">
        <w:r>
          <w:rPr>
            <w:color w:val="0000FF"/>
          </w:rPr>
          <w:t>реестр</w:t>
        </w:r>
      </w:hyperlink>
      <w:r>
        <w:t xml:space="preserve"> перечисленных поступлений за соответствующий период (далее - Реестр), сформированный по главному администратору (приложение N 2):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>- в электронном виде не позднее дня, следующего за днем получения и обработки Министерством выписки из лицевого счета бюджета, представленной Управлением Федерального казначейства по Самарской области (далее - УФК по Самарской области);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>- на бумажном носителе 15-го и 25-го числа каждого месяца.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>В Реестр включаются поступления при наличии в платежных документах следующих реквизитов: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>- код вида дохода, закрепленный в соответствии с законом Самарской области об областном бюджете на соответствующий финансовый год и плановый период за данным главным администратором;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>- значение ИНН и КПП главного администратора;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>- наименование плательщика, позволяющее определить главного администратора.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 xml:space="preserve">2.4. </w:t>
      </w:r>
      <w:hyperlink w:anchor="P149" w:history="1">
        <w:proofErr w:type="gramStart"/>
        <w:r>
          <w:rPr>
            <w:color w:val="0000FF"/>
          </w:rPr>
          <w:t>Справка</w:t>
        </w:r>
      </w:hyperlink>
      <w:r>
        <w:t xml:space="preserve"> поступлений, зачисленных в доход областного бюджета, (приложение N 3) формируется Министерством по кодам бюджетной классификации доходов нарастающим итогом с начала года и направляется главным администраторам ежемесячно не позднее 3-го числа месяца, следующего за отчетным, на бумажном носителе за подписью руководителя управления бюджетного учета и отчетности Министерства.</w:t>
      </w:r>
      <w:proofErr w:type="gramEnd"/>
    </w:p>
    <w:p w:rsidR="00A05C80" w:rsidRDefault="00A05C80">
      <w:pPr>
        <w:pStyle w:val="ConsPlusNormal"/>
        <w:spacing w:before="220"/>
        <w:ind w:firstLine="540"/>
        <w:jc w:val="both"/>
      </w:pPr>
      <w:r>
        <w:t xml:space="preserve">2.5. В случае необходимости изменения кода бюджетной классификации главный администратор в течение трех рабочих дней со дня получения платежного поручения представляет в Министерство </w:t>
      </w:r>
      <w:hyperlink r:id="rId8" w:history="1">
        <w:r>
          <w:rPr>
            <w:color w:val="0000FF"/>
          </w:rPr>
          <w:t>уведомление</w:t>
        </w:r>
      </w:hyperlink>
      <w:r>
        <w:t xml:space="preserve"> об уточнении вида и принадлежности платежа (далее - Уведомление) по форме, утвержденной Приказом Федерального казначейства от 22.03.2005 N 1н.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>В изменяемой части Уведомления указывается уточненный код бюджетной классификации и (или) код главного администратора, по которому суммы подлежат уточнению.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lastRenderedPageBreak/>
        <w:t>2.6. Представленные главными администраторами Уведомления проверяются Министерством на предмет правильности их оформления.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>Правильно оформленные Уведомления направляются Министерством в УФК по Самарской области на следующий день после их получения для проведения уточнения вида и принадлежности платежа.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>Уведомления, оформленные с ошибками, не принимаются к исполнению и не позднее трех рабочих дней возвращаются Министерством главным администраторам с обоснованием причин отказа в принятии к исполнению.</w:t>
      </w:r>
    </w:p>
    <w:p w:rsidR="00A05C80" w:rsidRDefault="00A05C80">
      <w:pPr>
        <w:pStyle w:val="ConsPlusNormal"/>
        <w:ind w:firstLine="540"/>
        <w:jc w:val="both"/>
      </w:pPr>
    </w:p>
    <w:p w:rsidR="00A05C80" w:rsidRDefault="00A05C80">
      <w:pPr>
        <w:pStyle w:val="ConsPlusNormal"/>
        <w:jc w:val="center"/>
        <w:outlineLvl w:val="1"/>
      </w:pPr>
      <w:r>
        <w:t>3. Сверка отчетных данных по поступлениям в областной бюджет</w:t>
      </w:r>
    </w:p>
    <w:p w:rsidR="00A05C80" w:rsidRDefault="00A05C80">
      <w:pPr>
        <w:pStyle w:val="ConsPlusNormal"/>
        <w:jc w:val="center"/>
      </w:pPr>
    </w:p>
    <w:p w:rsidR="00A05C80" w:rsidRDefault="00A05C80">
      <w:pPr>
        <w:pStyle w:val="ConsPlusNormal"/>
        <w:ind w:firstLine="540"/>
        <w:jc w:val="both"/>
      </w:pPr>
      <w:r>
        <w:t>3.1. Сверка отчетных данных Министерства с отчетными данными главных администраторов осуществляется Министерством по мере обращения главного администратора, но не чаще одного раза в месяц.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>В случае выявления расхождений между отчетными данными Министерства и отчетными данными главного администратора устанавливаются причины указанного расхождения и принимаются меры по их устранению.</w:t>
      </w:r>
    </w:p>
    <w:p w:rsidR="00A05C80" w:rsidRDefault="00A05C80">
      <w:pPr>
        <w:pStyle w:val="ConsPlusNormal"/>
        <w:spacing w:before="220"/>
        <w:ind w:firstLine="540"/>
        <w:jc w:val="both"/>
      </w:pPr>
      <w:r>
        <w:t>3.2. По запросу главного администратора, в случае возникновения судебного разбирательства, Министерство представляет платежные документы на бумажном носителе, заверенные в установленном порядке.</w:t>
      </w:r>
    </w:p>
    <w:p w:rsidR="00A05C80" w:rsidRDefault="00A05C80">
      <w:pPr>
        <w:pStyle w:val="ConsPlusNormal"/>
        <w:jc w:val="right"/>
      </w:pPr>
    </w:p>
    <w:p w:rsidR="00A05C80" w:rsidRDefault="00A05C80">
      <w:pPr>
        <w:pStyle w:val="ConsPlusNormal"/>
        <w:jc w:val="right"/>
      </w:pPr>
    </w:p>
    <w:p w:rsidR="00A05C80" w:rsidRDefault="00A05C80">
      <w:pPr>
        <w:pStyle w:val="ConsPlusNormal"/>
        <w:jc w:val="right"/>
      </w:pPr>
    </w:p>
    <w:p w:rsidR="00A05C80" w:rsidRDefault="00A05C80">
      <w:pPr>
        <w:pStyle w:val="ConsPlusNormal"/>
        <w:jc w:val="right"/>
      </w:pPr>
    </w:p>
    <w:p w:rsidR="00A05C80" w:rsidRDefault="00A05C80">
      <w:pPr>
        <w:pStyle w:val="ConsPlusNormal"/>
        <w:jc w:val="right"/>
      </w:pPr>
    </w:p>
    <w:p w:rsidR="00A05C80" w:rsidRDefault="00A05C80">
      <w:pPr>
        <w:pStyle w:val="ConsPlusNormal"/>
        <w:jc w:val="right"/>
        <w:outlineLvl w:val="1"/>
      </w:pPr>
      <w:r>
        <w:t>Приложение N 1</w:t>
      </w:r>
    </w:p>
    <w:p w:rsidR="00A05C80" w:rsidRDefault="00A05C80">
      <w:pPr>
        <w:pStyle w:val="ConsPlusNormal"/>
        <w:jc w:val="right"/>
      </w:pPr>
      <w:r>
        <w:t>к Порядку</w:t>
      </w:r>
    </w:p>
    <w:p w:rsidR="00A05C80" w:rsidRDefault="00A05C80">
      <w:pPr>
        <w:pStyle w:val="ConsPlusNormal"/>
        <w:jc w:val="right"/>
      </w:pPr>
      <w:r>
        <w:t>взаимодействия министерства</w:t>
      </w:r>
    </w:p>
    <w:p w:rsidR="00A05C80" w:rsidRDefault="00A05C80">
      <w:pPr>
        <w:pStyle w:val="ConsPlusNormal"/>
        <w:jc w:val="right"/>
      </w:pPr>
      <w:r>
        <w:t>управления финансами Самарской области</w:t>
      </w:r>
    </w:p>
    <w:p w:rsidR="00A05C80" w:rsidRDefault="00A05C80">
      <w:pPr>
        <w:pStyle w:val="ConsPlusNormal"/>
        <w:jc w:val="right"/>
      </w:pPr>
      <w:r>
        <w:t>с главными администраторами доходов</w:t>
      </w:r>
    </w:p>
    <w:p w:rsidR="00A05C80" w:rsidRDefault="00A05C80">
      <w:pPr>
        <w:pStyle w:val="ConsPlusNormal"/>
        <w:jc w:val="right"/>
      </w:pPr>
      <w:r>
        <w:t xml:space="preserve">областного бюджета, </w:t>
      </w:r>
      <w:proofErr w:type="gramStart"/>
      <w:r>
        <w:t>утвержденному</w:t>
      </w:r>
      <w:proofErr w:type="gramEnd"/>
    </w:p>
    <w:p w:rsidR="00A05C80" w:rsidRDefault="00A05C80">
      <w:pPr>
        <w:pStyle w:val="ConsPlusNormal"/>
        <w:jc w:val="right"/>
      </w:pPr>
      <w:r>
        <w:t>Приказом министерства управления финансами</w:t>
      </w:r>
    </w:p>
    <w:p w:rsidR="00A05C80" w:rsidRDefault="00A05C80">
      <w:pPr>
        <w:pStyle w:val="ConsPlusNormal"/>
        <w:jc w:val="right"/>
      </w:pPr>
      <w:r>
        <w:t>Самарской области</w:t>
      </w:r>
    </w:p>
    <w:p w:rsidR="00A05C80" w:rsidRDefault="00A05C80">
      <w:pPr>
        <w:pStyle w:val="ConsPlusNormal"/>
        <w:jc w:val="right"/>
      </w:pPr>
      <w:r>
        <w:t>от 3 июля 2008 г. N 01-21/69</w:t>
      </w:r>
    </w:p>
    <w:p w:rsidR="00A05C80" w:rsidRDefault="00A05C80">
      <w:pPr>
        <w:pStyle w:val="ConsPlusNormal"/>
        <w:ind w:left="540"/>
        <w:jc w:val="both"/>
      </w:pPr>
    </w:p>
    <w:p w:rsidR="00A05C80" w:rsidRDefault="00A05C80">
      <w:pPr>
        <w:pStyle w:val="ConsPlusTitle"/>
        <w:jc w:val="center"/>
      </w:pPr>
      <w:bookmarkStart w:id="1" w:name="P75"/>
      <w:bookmarkEnd w:id="1"/>
      <w:r>
        <w:t xml:space="preserve">ИНФОРМАЦИЯ О </w:t>
      </w:r>
      <w:proofErr w:type="gramStart"/>
      <w:r>
        <w:t>ПЛАНИРУЕМЫХ</w:t>
      </w:r>
      <w:proofErr w:type="gramEnd"/>
      <w:r>
        <w:t xml:space="preserve"> БЕЗВОЗМЕЗДНЫХ</w:t>
      </w:r>
    </w:p>
    <w:p w:rsidR="00A05C80" w:rsidRDefault="00A05C80">
      <w:pPr>
        <w:pStyle w:val="ConsPlusTitle"/>
        <w:jc w:val="center"/>
      </w:pPr>
      <w:proofErr w:type="gramStart"/>
      <w:r>
        <w:t>ПОСТУПЛЕНИЯХ</w:t>
      </w:r>
      <w:proofErr w:type="gramEnd"/>
      <w:r>
        <w:t xml:space="preserve"> В ОБЛАСТНОЙ БЮДЖЕТ НА ____ГОД</w:t>
      </w:r>
    </w:p>
    <w:p w:rsidR="00A05C80" w:rsidRDefault="00A05C80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40"/>
        <w:gridCol w:w="1240"/>
        <w:gridCol w:w="1116"/>
        <w:gridCol w:w="1364"/>
        <w:gridCol w:w="1116"/>
        <w:gridCol w:w="1116"/>
        <w:gridCol w:w="1116"/>
        <w:gridCol w:w="1116"/>
        <w:gridCol w:w="868"/>
      </w:tblGrid>
      <w:tr w:rsidR="00A05C80">
        <w:trPr>
          <w:trHeight w:val="251"/>
        </w:trPr>
        <w:tc>
          <w:tcPr>
            <w:tcW w:w="1240" w:type="dxa"/>
            <w:vMerge w:val="restart"/>
          </w:tcPr>
          <w:p w:rsidR="00A05C80" w:rsidRDefault="00A05C80">
            <w:pPr>
              <w:pStyle w:val="ConsPlusNonformat"/>
              <w:jc w:val="both"/>
            </w:pPr>
            <w:r>
              <w:t xml:space="preserve"> Наиме-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нование </w:t>
            </w:r>
          </w:p>
          <w:p w:rsidR="00A05C80" w:rsidRDefault="00A05C80">
            <w:pPr>
              <w:pStyle w:val="ConsPlusNonformat"/>
              <w:jc w:val="both"/>
            </w:pPr>
            <w:r>
              <w:t>главного</w:t>
            </w:r>
          </w:p>
          <w:p w:rsidR="00A05C80" w:rsidRDefault="00A05C80">
            <w:pPr>
              <w:pStyle w:val="ConsPlusNonformat"/>
              <w:jc w:val="both"/>
            </w:pPr>
            <w:r>
              <w:t>распоря-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дителя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средств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феде- 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раль- 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 ного 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бюджета </w:t>
            </w:r>
          </w:p>
        </w:tc>
        <w:tc>
          <w:tcPr>
            <w:tcW w:w="1240" w:type="dxa"/>
            <w:vMerge w:val="restart"/>
          </w:tcPr>
          <w:p w:rsidR="00A05C80" w:rsidRDefault="00A05C80">
            <w:pPr>
              <w:pStyle w:val="ConsPlusNonformat"/>
              <w:jc w:val="both"/>
            </w:pPr>
            <w:r>
              <w:t>Наимено-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вание  </w:t>
            </w:r>
          </w:p>
          <w:p w:rsidR="00A05C80" w:rsidRDefault="00A05C80">
            <w:pPr>
              <w:pStyle w:val="ConsPlusNonformat"/>
              <w:jc w:val="both"/>
            </w:pPr>
            <w:r>
              <w:t>субсидии</w:t>
            </w:r>
          </w:p>
          <w:p w:rsidR="00A05C80" w:rsidRDefault="00A05C80">
            <w:pPr>
              <w:pStyle w:val="ConsPlusNonformat"/>
              <w:jc w:val="both"/>
            </w:pPr>
            <w:proofErr w:type="gramStart"/>
            <w:r>
              <w:t>(субвен-</w:t>
            </w:r>
            <w:proofErr w:type="gramEnd"/>
          </w:p>
          <w:p w:rsidR="00A05C80" w:rsidRDefault="00A05C80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ции)  </w:t>
            </w:r>
            <w:proofErr w:type="gramEnd"/>
          </w:p>
        </w:tc>
        <w:tc>
          <w:tcPr>
            <w:tcW w:w="1116" w:type="dxa"/>
            <w:vMerge w:val="restart"/>
          </w:tcPr>
          <w:p w:rsidR="00A05C80" w:rsidRDefault="00A05C80">
            <w:pPr>
              <w:pStyle w:val="ConsPlusNonformat"/>
              <w:jc w:val="both"/>
            </w:pPr>
            <w:r>
              <w:t xml:space="preserve">  Код 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глав-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ного  </w:t>
            </w:r>
          </w:p>
          <w:p w:rsidR="00A05C80" w:rsidRDefault="00A05C80">
            <w:pPr>
              <w:pStyle w:val="ConsPlusNonformat"/>
              <w:jc w:val="both"/>
            </w:pPr>
            <w:r>
              <w:t>админи-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стра-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тора  </w:t>
            </w:r>
          </w:p>
        </w:tc>
        <w:tc>
          <w:tcPr>
            <w:tcW w:w="1364" w:type="dxa"/>
            <w:vMerge w:val="restart"/>
          </w:tcPr>
          <w:p w:rsidR="00A05C80" w:rsidRDefault="00A05C80">
            <w:pPr>
              <w:pStyle w:val="ConsPlusNonformat"/>
              <w:jc w:val="both"/>
            </w:pPr>
            <w:r>
              <w:t xml:space="preserve">  Коды  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бюджет-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  ной  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класси-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фикации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  по   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безвоз-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мездным </w:t>
            </w:r>
          </w:p>
          <w:p w:rsidR="00A05C80" w:rsidRDefault="00A05C80">
            <w:pPr>
              <w:pStyle w:val="ConsPlusNonformat"/>
              <w:jc w:val="both"/>
            </w:pPr>
            <w:r>
              <w:t>поступле-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ниям в 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област-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  ной  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бюджет  </w:t>
            </w:r>
          </w:p>
        </w:tc>
        <w:tc>
          <w:tcPr>
            <w:tcW w:w="5332" w:type="dxa"/>
            <w:gridSpan w:val="5"/>
          </w:tcPr>
          <w:p w:rsidR="00A05C80" w:rsidRDefault="00A05C80">
            <w:pPr>
              <w:pStyle w:val="ConsPlusNonformat"/>
              <w:jc w:val="both"/>
            </w:pPr>
            <w:r>
              <w:t xml:space="preserve">   Суммы </w:t>
            </w:r>
            <w:proofErr w:type="gramStart"/>
            <w:r>
              <w:t>планируемых</w:t>
            </w:r>
            <w:proofErr w:type="gramEnd"/>
            <w:r>
              <w:t xml:space="preserve"> безвозмездных  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     поступлений, тыс. рублей       </w:t>
            </w:r>
          </w:p>
        </w:tc>
      </w:tr>
      <w:tr w:rsidR="00A05C80">
        <w:tc>
          <w:tcPr>
            <w:tcW w:w="1116" w:type="dxa"/>
            <w:vMerge/>
            <w:tcBorders>
              <w:top w:val="nil"/>
            </w:tcBorders>
          </w:tcPr>
          <w:p w:rsidR="00A05C80" w:rsidRDefault="00A05C80"/>
        </w:tc>
        <w:tc>
          <w:tcPr>
            <w:tcW w:w="1116" w:type="dxa"/>
            <w:vMerge/>
            <w:tcBorders>
              <w:top w:val="nil"/>
            </w:tcBorders>
          </w:tcPr>
          <w:p w:rsidR="00A05C80" w:rsidRDefault="00A05C80"/>
        </w:tc>
        <w:tc>
          <w:tcPr>
            <w:tcW w:w="992" w:type="dxa"/>
            <w:vMerge/>
            <w:tcBorders>
              <w:top w:val="nil"/>
            </w:tcBorders>
          </w:tcPr>
          <w:p w:rsidR="00A05C80" w:rsidRDefault="00A05C80"/>
        </w:tc>
        <w:tc>
          <w:tcPr>
            <w:tcW w:w="1240" w:type="dxa"/>
            <w:vMerge/>
            <w:tcBorders>
              <w:top w:val="nil"/>
            </w:tcBorders>
          </w:tcPr>
          <w:p w:rsidR="00A05C80" w:rsidRDefault="00A05C80"/>
        </w:tc>
        <w:tc>
          <w:tcPr>
            <w:tcW w:w="1116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I   </w:t>
            </w:r>
          </w:p>
          <w:p w:rsidR="00A05C80" w:rsidRDefault="00A05C80">
            <w:pPr>
              <w:pStyle w:val="ConsPlusNonformat"/>
              <w:jc w:val="both"/>
            </w:pPr>
            <w:r>
              <w:t>квартал</w:t>
            </w:r>
          </w:p>
        </w:tc>
        <w:tc>
          <w:tcPr>
            <w:tcW w:w="1116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II   </w:t>
            </w:r>
          </w:p>
          <w:p w:rsidR="00A05C80" w:rsidRDefault="00A05C80">
            <w:pPr>
              <w:pStyle w:val="ConsPlusNonformat"/>
              <w:jc w:val="both"/>
            </w:pPr>
            <w:r>
              <w:t>квартал</w:t>
            </w:r>
          </w:p>
        </w:tc>
        <w:tc>
          <w:tcPr>
            <w:tcW w:w="1116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III  </w:t>
            </w:r>
          </w:p>
          <w:p w:rsidR="00A05C80" w:rsidRDefault="00A05C80">
            <w:pPr>
              <w:pStyle w:val="ConsPlusNonformat"/>
              <w:jc w:val="both"/>
            </w:pPr>
            <w:r>
              <w:t>квартал</w:t>
            </w:r>
          </w:p>
        </w:tc>
        <w:tc>
          <w:tcPr>
            <w:tcW w:w="1116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IV   </w:t>
            </w:r>
          </w:p>
          <w:p w:rsidR="00A05C80" w:rsidRDefault="00A05C80">
            <w:pPr>
              <w:pStyle w:val="ConsPlusNonformat"/>
              <w:jc w:val="both"/>
            </w:pPr>
            <w:r>
              <w:t>квартал</w:t>
            </w:r>
          </w:p>
        </w:tc>
        <w:tc>
          <w:tcPr>
            <w:tcW w:w="868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>Итого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за 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год </w:t>
            </w:r>
          </w:p>
        </w:tc>
      </w:tr>
      <w:tr w:rsidR="00A05C80">
        <w:trPr>
          <w:trHeight w:val="251"/>
        </w:trPr>
        <w:tc>
          <w:tcPr>
            <w:tcW w:w="1240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lastRenderedPageBreak/>
              <w:t xml:space="preserve">   1    </w:t>
            </w:r>
          </w:p>
        </w:tc>
        <w:tc>
          <w:tcPr>
            <w:tcW w:w="1240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116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364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116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116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1116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1116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8   </w:t>
            </w:r>
          </w:p>
        </w:tc>
        <w:tc>
          <w:tcPr>
            <w:tcW w:w="868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9  </w:t>
            </w:r>
          </w:p>
        </w:tc>
      </w:tr>
      <w:tr w:rsidR="00A05C80">
        <w:trPr>
          <w:trHeight w:val="251"/>
        </w:trPr>
        <w:tc>
          <w:tcPr>
            <w:tcW w:w="1240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240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116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364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116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116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116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116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868" w:type="dxa"/>
          </w:tcPr>
          <w:p w:rsidR="00A05C80" w:rsidRDefault="00A05C80">
            <w:pPr>
              <w:pStyle w:val="ConsPlusNonformat"/>
              <w:jc w:val="both"/>
            </w:pPr>
          </w:p>
        </w:tc>
      </w:tr>
      <w:tr w:rsidR="00A05C80">
        <w:trPr>
          <w:trHeight w:val="251"/>
        </w:trPr>
        <w:tc>
          <w:tcPr>
            <w:tcW w:w="1240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240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116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364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116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116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116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116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868" w:type="dxa"/>
          </w:tcPr>
          <w:p w:rsidR="00A05C80" w:rsidRDefault="00A05C80">
            <w:pPr>
              <w:pStyle w:val="ConsPlusNonformat"/>
              <w:jc w:val="both"/>
            </w:pPr>
          </w:p>
        </w:tc>
      </w:tr>
    </w:tbl>
    <w:p w:rsidR="00A05C80" w:rsidRDefault="00A05C80">
      <w:pPr>
        <w:pStyle w:val="ConsPlusNormal"/>
      </w:pPr>
    </w:p>
    <w:p w:rsidR="00A05C80" w:rsidRDefault="00A05C80">
      <w:pPr>
        <w:pStyle w:val="ConsPlusNonformat"/>
        <w:jc w:val="both"/>
      </w:pPr>
      <w:r>
        <w:t>Руководитель                   _________             ______________________</w:t>
      </w:r>
    </w:p>
    <w:p w:rsidR="00A05C80" w:rsidRDefault="00A05C80">
      <w:pPr>
        <w:pStyle w:val="ConsPlusNonformat"/>
        <w:jc w:val="both"/>
      </w:pPr>
      <w:r>
        <w:t xml:space="preserve">                               (подпись)              (расшифровка подписи)</w:t>
      </w:r>
    </w:p>
    <w:p w:rsidR="00A05C80" w:rsidRDefault="00A05C80">
      <w:pPr>
        <w:pStyle w:val="ConsPlusNonformat"/>
        <w:jc w:val="both"/>
      </w:pPr>
      <w:r>
        <w:t>Исполнитель                    _________             ______________________</w:t>
      </w:r>
    </w:p>
    <w:p w:rsidR="00A05C80" w:rsidRDefault="00A05C80">
      <w:pPr>
        <w:pStyle w:val="ConsPlusNonformat"/>
        <w:jc w:val="both"/>
      </w:pPr>
      <w:r>
        <w:t xml:space="preserve">                               (подпись)              (расшифровка подписи)</w:t>
      </w:r>
    </w:p>
    <w:p w:rsidR="00A05C80" w:rsidRDefault="00A05C80">
      <w:pPr>
        <w:pStyle w:val="ConsPlusNormal"/>
      </w:pPr>
    </w:p>
    <w:p w:rsidR="00A05C80" w:rsidRDefault="00A05C80">
      <w:pPr>
        <w:pStyle w:val="ConsPlusNormal"/>
      </w:pPr>
    </w:p>
    <w:p w:rsidR="00A05C80" w:rsidRDefault="00A05C80">
      <w:pPr>
        <w:pStyle w:val="ConsPlusNormal"/>
      </w:pPr>
    </w:p>
    <w:p w:rsidR="00A05C80" w:rsidRDefault="00A05C80">
      <w:pPr>
        <w:pStyle w:val="ConsPlusNormal"/>
      </w:pPr>
    </w:p>
    <w:p w:rsidR="00A05C80" w:rsidRDefault="00A05C80">
      <w:pPr>
        <w:pStyle w:val="ConsPlusNormal"/>
      </w:pPr>
    </w:p>
    <w:p w:rsidR="00A05C80" w:rsidRDefault="00A05C80">
      <w:pPr>
        <w:pStyle w:val="ConsPlusNormal"/>
        <w:jc w:val="right"/>
        <w:outlineLvl w:val="1"/>
      </w:pPr>
      <w:r>
        <w:t>Приложение N 2</w:t>
      </w:r>
    </w:p>
    <w:p w:rsidR="00A05C80" w:rsidRDefault="00A05C80">
      <w:pPr>
        <w:pStyle w:val="ConsPlusNormal"/>
        <w:jc w:val="right"/>
      </w:pPr>
      <w:r>
        <w:t>к Порядку</w:t>
      </w:r>
    </w:p>
    <w:p w:rsidR="00A05C80" w:rsidRDefault="00A05C80">
      <w:pPr>
        <w:pStyle w:val="ConsPlusNormal"/>
        <w:jc w:val="right"/>
      </w:pPr>
      <w:r>
        <w:t>взаимодействия министерства</w:t>
      </w:r>
    </w:p>
    <w:p w:rsidR="00A05C80" w:rsidRDefault="00A05C80">
      <w:pPr>
        <w:pStyle w:val="ConsPlusNormal"/>
        <w:jc w:val="right"/>
      </w:pPr>
      <w:r>
        <w:t>управления финансами Самарской области</w:t>
      </w:r>
    </w:p>
    <w:p w:rsidR="00A05C80" w:rsidRDefault="00A05C80">
      <w:pPr>
        <w:pStyle w:val="ConsPlusNormal"/>
        <w:jc w:val="right"/>
      </w:pPr>
      <w:r>
        <w:t>с главными администраторами доходов</w:t>
      </w:r>
    </w:p>
    <w:p w:rsidR="00A05C80" w:rsidRDefault="00A05C80">
      <w:pPr>
        <w:pStyle w:val="ConsPlusNormal"/>
        <w:jc w:val="right"/>
      </w:pPr>
      <w:r>
        <w:t xml:space="preserve">областного бюджета, </w:t>
      </w:r>
      <w:proofErr w:type="gramStart"/>
      <w:r>
        <w:t>утвержденному</w:t>
      </w:r>
      <w:proofErr w:type="gramEnd"/>
    </w:p>
    <w:p w:rsidR="00A05C80" w:rsidRDefault="00A05C80">
      <w:pPr>
        <w:pStyle w:val="ConsPlusNormal"/>
        <w:jc w:val="right"/>
      </w:pPr>
      <w:r>
        <w:t>Приказом министерства управления финансами</w:t>
      </w:r>
    </w:p>
    <w:p w:rsidR="00A05C80" w:rsidRDefault="00A05C80">
      <w:pPr>
        <w:pStyle w:val="ConsPlusNormal"/>
        <w:jc w:val="right"/>
      </w:pPr>
      <w:r>
        <w:t>Самарской области</w:t>
      </w:r>
    </w:p>
    <w:p w:rsidR="00A05C80" w:rsidRDefault="00A05C80">
      <w:pPr>
        <w:pStyle w:val="ConsPlusNormal"/>
        <w:jc w:val="right"/>
      </w:pPr>
      <w:r>
        <w:t>от 3 июля 2008 г. N 01-21/69</w:t>
      </w:r>
    </w:p>
    <w:p w:rsidR="00A05C80" w:rsidRDefault="00A05C80">
      <w:pPr>
        <w:pStyle w:val="ConsPlusNormal"/>
      </w:pPr>
    </w:p>
    <w:p w:rsidR="00A05C80" w:rsidRDefault="00A05C80">
      <w:pPr>
        <w:pStyle w:val="ConsPlusTitle"/>
        <w:jc w:val="center"/>
      </w:pPr>
      <w:bookmarkStart w:id="2" w:name="P117"/>
      <w:bookmarkEnd w:id="2"/>
      <w:r>
        <w:t>РЕЕСТР</w:t>
      </w:r>
    </w:p>
    <w:p w:rsidR="00A05C80" w:rsidRDefault="00A05C80">
      <w:pPr>
        <w:pStyle w:val="ConsPlusTitle"/>
        <w:jc w:val="center"/>
      </w:pPr>
      <w:r>
        <w:t>ПЕРЕЧИСЛЕННЫХ ПОСТУПЛЕНИЙ ЗА ПЕРИОД_____</w:t>
      </w:r>
    </w:p>
    <w:p w:rsidR="00A05C80" w:rsidRDefault="00A05C80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44"/>
        <w:gridCol w:w="1364"/>
        <w:gridCol w:w="1860"/>
        <w:gridCol w:w="620"/>
        <w:gridCol w:w="1612"/>
        <w:gridCol w:w="1488"/>
        <w:gridCol w:w="744"/>
        <w:gridCol w:w="1736"/>
      </w:tblGrid>
      <w:tr w:rsidR="00A05C80">
        <w:trPr>
          <w:trHeight w:val="251"/>
        </w:trPr>
        <w:tc>
          <w:tcPr>
            <w:tcW w:w="744" w:type="dxa"/>
          </w:tcPr>
          <w:p w:rsidR="00A05C80" w:rsidRDefault="00A05C80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1364" w:type="dxa"/>
          </w:tcPr>
          <w:p w:rsidR="00A05C80" w:rsidRDefault="00A05C80">
            <w:pPr>
              <w:pStyle w:val="ConsPlusNonformat"/>
              <w:jc w:val="both"/>
            </w:pPr>
            <w:r>
              <w:t xml:space="preserve">    N    </w:t>
            </w:r>
          </w:p>
          <w:p w:rsidR="00A05C80" w:rsidRDefault="00A05C80">
            <w:pPr>
              <w:pStyle w:val="ConsPlusNonformat"/>
              <w:jc w:val="both"/>
            </w:pPr>
            <w:r>
              <w:t>документа</w:t>
            </w:r>
          </w:p>
        </w:tc>
        <w:tc>
          <w:tcPr>
            <w:tcW w:w="1860" w:type="dxa"/>
          </w:tcPr>
          <w:p w:rsidR="00A05C80" w:rsidRDefault="00A05C80">
            <w:pPr>
              <w:pStyle w:val="ConsPlusNonformat"/>
              <w:jc w:val="both"/>
            </w:pPr>
            <w:r>
              <w:t xml:space="preserve">Код главного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администра-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   тора     </w:t>
            </w:r>
          </w:p>
        </w:tc>
        <w:tc>
          <w:tcPr>
            <w:tcW w:w="620" w:type="dxa"/>
          </w:tcPr>
          <w:p w:rsidR="00A05C80" w:rsidRDefault="00A05C80">
            <w:pPr>
              <w:pStyle w:val="ConsPlusNonformat"/>
              <w:jc w:val="both"/>
            </w:pPr>
            <w:r>
              <w:t>КБК</w:t>
            </w:r>
          </w:p>
        </w:tc>
        <w:tc>
          <w:tcPr>
            <w:tcW w:w="1612" w:type="dxa"/>
          </w:tcPr>
          <w:p w:rsidR="00A05C80" w:rsidRDefault="00A05C80">
            <w:pPr>
              <w:pStyle w:val="ConsPlusNonformat"/>
              <w:jc w:val="both"/>
            </w:pPr>
            <w:r>
              <w:t xml:space="preserve">   Сумма   </w:t>
            </w:r>
          </w:p>
          <w:p w:rsidR="00A05C80" w:rsidRDefault="00A05C80">
            <w:pPr>
              <w:pStyle w:val="ConsPlusNonformat"/>
              <w:jc w:val="both"/>
            </w:pPr>
            <w:r>
              <w:t>поступлений</w:t>
            </w:r>
          </w:p>
        </w:tc>
        <w:tc>
          <w:tcPr>
            <w:tcW w:w="1488" w:type="dxa"/>
          </w:tcPr>
          <w:p w:rsidR="00A05C80" w:rsidRDefault="00A05C80">
            <w:pPr>
              <w:pStyle w:val="ConsPlusNonformat"/>
              <w:jc w:val="both"/>
            </w:pPr>
            <w:r>
              <w:t>Плательщик</w:t>
            </w:r>
          </w:p>
        </w:tc>
        <w:tc>
          <w:tcPr>
            <w:tcW w:w="744" w:type="dxa"/>
          </w:tcPr>
          <w:p w:rsidR="00A05C80" w:rsidRDefault="00A05C80">
            <w:pPr>
              <w:pStyle w:val="ConsPlusNonformat"/>
              <w:jc w:val="both"/>
            </w:pPr>
            <w:r>
              <w:t xml:space="preserve">Код </w:t>
            </w:r>
          </w:p>
          <w:p w:rsidR="00A05C80" w:rsidRDefault="00A05C80">
            <w:pPr>
              <w:pStyle w:val="ConsPlusNonformat"/>
              <w:jc w:val="both"/>
            </w:pPr>
            <w:r>
              <w:t>цели</w:t>
            </w:r>
          </w:p>
        </w:tc>
        <w:tc>
          <w:tcPr>
            <w:tcW w:w="1736" w:type="dxa"/>
          </w:tcPr>
          <w:p w:rsidR="00A05C80" w:rsidRDefault="00A05C80">
            <w:pPr>
              <w:pStyle w:val="ConsPlusNonformat"/>
              <w:jc w:val="both"/>
            </w:pPr>
            <w:r>
              <w:t xml:space="preserve"> Назначение </w:t>
            </w:r>
          </w:p>
          <w:p w:rsidR="00A05C80" w:rsidRDefault="00A05C80">
            <w:pPr>
              <w:pStyle w:val="ConsPlusNonformat"/>
              <w:jc w:val="both"/>
            </w:pPr>
            <w:r>
              <w:t>электронного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документа  </w:t>
            </w:r>
          </w:p>
        </w:tc>
      </w:tr>
      <w:tr w:rsidR="00A05C80">
        <w:trPr>
          <w:trHeight w:val="251"/>
        </w:trPr>
        <w:tc>
          <w:tcPr>
            <w:tcW w:w="744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1364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860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620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1612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488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 7     </w:t>
            </w:r>
          </w:p>
        </w:tc>
        <w:tc>
          <w:tcPr>
            <w:tcW w:w="744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1736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  9      </w:t>
            </w:r>
          </w:p>
        </w:tc>
      </w:tr>
      <w:tr w:rsidR="00A05C80">
        <w:trPr>
          <w:trHeight w:val="251"/>
        </w:trPr>
        <w:tc>
          <w:tcPr>
            <w:tcW w:w="744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364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860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620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612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488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744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736" w:type="dxa"/>
          </w:tcPr>
          <w:p w:rsidR="00A05C80" w:rsidRDefault="00A05C80">
            <w:pPr>
              <w:pStyle w:val="ConsPlusNonformat"/>
              <w:jc w:val="both"/>
            </w:pPr>
          </w:p>
        </w:tc>
      </w:tr>
      <w:tr w:rsidR="00A05C80">
        <w:trPr>
          <w:trHeight w:val="251"/>
        </w:trPr>
        <w:tc>
          <w:tcPr>
            <w:tcW w:w="744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364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860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620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612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488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744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736" w:type="dxa"/>
          </w:tcPr>
          <w:p w:rsidR="00A05C80" w:rsidRDefault="00A05C80">
            <w:pPr>
              <w:pStyle w:val="ConsPlusNonformat"/>
              <w:jc w:val="both"/>
            </w:pPr>
          </w:p>
        </w:tc>
      </w:tr>
    </w:tbl>
    <w:p w:rsidR="00A05C80" w:rsidRDefault="00A05C80">
      <w:pPr>
        <w:pStyle w:val="ConsPlusNormal"/>
      </w:pPr>
    </w:p>
    <w:p w:rsidR="00A05C80" w:rsidRDefault="00A05C80">
      <w:pPr>
        <w:pStyle w:val="ConsPlusNonformat"/>
        <w:jc w:val="both"/>
      </w:pPr>
      <w:r>
        <w:t>Руководитель управления           _________          ______________________</w:t>
      </w:r>
    </w:p>
    <w:p w:rsidR="00A05C80" w:rsidRDefault="00A05C80">
      <w:pPr>
        <w:pStyle w:val="ConsPlusNonformat"/>
        <w:jc w:val="both"/>
      </w:pPr>
      <w:r>
        <w:t xml:space="preserve">                                  (подпись)           (расшифровка подписи)</w:t>
      </w:r>
    </w:p>
    <w:p w:rsidR="00A05C80" w:rsidRDefault="00A05C80">
      <w:pPr>
        <w:pStyle w:val="ConsPlusNonformat"/>
        <w:jc w:val="both"/>
      </w:pPr>
      <w:r>
        <w:t>Исполнитель                       _________          ______________________</w:t>
      </w:r>
    </w:p>
    <w:p w:rsidR="00A05C80" w:rsidRDefault="00A05C80">
      <w:pPr>
        <w:pStyle w:val="ConsPlusNonformat"/>
        <w:jc w:val="both"/>
      </w:pPr>
      <w:r>
        <w:t xml:space="preserve">                                  (подпись)           (расшифровка подписи)</w:t>
      </w:r>
    </w:p>
    <w:p w:rsidR="00A05C80" w:rsidRDefault="00A05C80">
      <w:pPr>
        <w:pStyle w:val="ConsPlusNormal"/>
      </w:pPr>
    </w:p>
    <w:p w:rsidR="00A05C80" w:rsidRDefault="00A05C80">
      <w:pPr>
        <w:pStyle w:val="ConsPlusNormal"/>
      </w:pPr>
    </w:p>
    <w:p w:rsidR="00A05C80" w:rsidRDefault="00A05C80">
      <w:pPr>
        <w:pStyle w:val="ConsPlusNormal"/>
      </w:pPr>
    </w:p>
    <w:p w:rsidR="00A05C80" w:rsidRDefault="00A05C80">
      <w:pPr>
        <w:pStyle w:val="ConsPlusNormal"/>
      </w:pPr>
    </w:p>
    <w:p w:rsidR="00A05C80" w:rsidRDefault="00A05C80">
      <w:pPr>
        <w:pStyle w:val="ConsPlusNormal"/>
      </w:pPr>
    </w:p>
    <w:p w:rsidR="00A05C80" w:rsidRDefault="00A05C80">
      <w:pPr>
        <w:pStyle w:val="ConsPlusNormal"/>
        <w:jc w:val="right"/>
        <w:outlineLvl w:val="1"/>
      </w:pPr>
      <w:r>
        <w:t>Приложение N 3</w:t>
      </w:r>
    </w:p>
    <w:p w:rsidR="00A05C80" w:rsidRDefault="00A05C80">
      <w:pPr>
        <w:pStyle w:val="ConsPlusNormal"/>
        <w:jc w:val="right"/>
      </w:pPr>
      <w:r>
        <w:t>к Порядку</w:t>
      </w:r>
    </w:p>
    <w:p w:rsidR="00A05C80" w:rsidRDefault="00A05C80">
      <w:pPr>
        <w:pStyle w:val="ConsPlusNormal"/>
        <w:jc w:val="right"/>
      </w:pPr>
      <w:r>
        <w:t>взаимодействия министерства</w:t>
      </w:r>
    </w:p>
    <w:p w:rsidR="00A05C80" w:rsidRDefault="00A05C80">
      <w:pPr>
        <w:pStyle w:val="ConsPlusNormal"/>
        <w:jc w:val="right"/>
      </w:pPr>
      <w:r>
        <w:t>управления финансами Самарской области</w:t>
      </w:r>
    </w:p>
    <w:p w:rsidR="00A05C80" w:rsidRDefault="00A05C80">
      <w:pPr>
        <w:pStyle w:val="ConsPlusNormal"/>
        <w:jc w:val="right"/>
      </w:pPr>
      <w:r>
        <w:t>с главными администраторами доходов</w:t>
      </w:r>
    </w:p>
    <w:p w:rsidR="00A05C80" w:rsidRDefault="00A05C80">
      <w:pPr>
        <w:pStyle w:val="ConsPlusNormal"/>
        <w:jc w:val="right"/>
      </w:pPr>
      <w:r>
        <w:t xml:space="preserve">областного бюджета, </w:t>
      </w:r>
      <w:proofErr w:type="gramStart"/>
      <w:r>
        <w:t>утвержденному</w:t>
      </w:r>
      <w:proofErr w:type="gramEnd"/>
    </w:p>
    <w:p w:rsidR="00A05C80" w:rsidRDefault="00A05C80">
      <w:pPr>
        <w:pStyle w:val="ConsPlusNormal"/>
        <w:jc w:val="right"/>
      </w:pPr>
      <w:r>
        <w:t>Приказом министерства управления финансами</w:t>
      </w:r>
    </w:p>
    <w:p w:rsidR="00A05C80" w:rsidRDefault="00A05C80">
      <w:pPr>
        <w:pStyle w:val="ConsPlusNormal"/>
        <w:jc w:val="right"/>
      </w:pPr>
      <w:r>
        <w:t>Самарской области</w:t>
      </w:r>
    </w:p>
    <w:p w:rsidR="00A05C80" w:rsidRDefault="00A05C80">
      <w:pPr>
        <w:pStyle w:val="ConsPlusNormal"/>
        <w:jc w:val="right"/>
      </w:pPr>
      <w:r>
        <w:t>от 3 июля 2008 г. N 01-21/69</w:t>
      </w:r>
    </w:p>
    <w:p w:rsidR="00A05C80" w:rsidRDefault="00A05C80">
      <w:pPr>
        <w:pStyle w:val="ConsPlusNormal"/>
      </w:pPr>
    </w:p>
    <w:p w:rsidR="00A05C80" w:rsidRDefault="00A05C80">
      <w:pPr>
        <w:pStyle w:val="ConsPlusTitle"/>
        <w:jc w:val="center"/>
      </w:pPr>
      <w:bookmarkStart w:id="3" w:name="P149"/>
      <w:bookmarkEnd w:id="3"/>
      <w:r>
        <w:t>СПРАВКА ПОСТУПЛЕНИЙ,</w:t>
      </w:r>
    </w:p>
    <w:p w:rsidR="00A05C80" w:rsidRDefault="00A05C80">
      <w:pPr>
        <w:pStyle w:val="ConsPlusTitle"/>
        <w:jc w:val="center"/>
      </w:pPr>
      <w:proofErr w:type="gramStart"/>
      <w:r>
        <w:t>ЗАЧИСЛЕННЫХ</w:t>
      </w:r>
      <w:proofErr w:type="gramEnd"/>
      <w:r>
        <w:t xml:space="preserve"> В ДОХОД ОБЛАСТНОГО БЮДЖЕТА ЗА ПЕРИОД___</w:t>
      </w:r>
    </w:p>
    <w:p w:rsidR="00A05C80" w:rsidRDefault="00A05C80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40"/>
        <w:gridCol w:w="1612"/>
        <w:gridCol w:w="3224"/>
        <w:gridCol w:w="3596"/>
      </w:tblGrid>
      <w:tr w:rsidR="00A05C80">
        <w:trPr>
          <w:trHeight w:val="251"/>
        </w:trPr>
        <w:tc>
          <w:tcPr>
            <w:tcW w:w="1240" w:type="dxa"/>
            <w:vMerge w:val="restart"/>
          </w:tcPr>
          <w:p w:rsidR="00A05C80" w:rsidRDefault="00A05C80">
            <w:pPr>
              <w:pStyle w:val="ConsPlusNonformat"/>
              <w:jc w:val="both"/>
            </w:pPr>
            <w:r>
              <w:t xml:space="preserve">  Код   </w:t>
            </w:r>
          </w:p>
          <w:p w:rsidR="00A05C80" w:rsidRDefault="00A05C80">
            <w:pPr>
              <w:pStyle w:val="ConsPlusNonformat"/>
              <w:jc w:val="both"/>
            </w:pPr>
            <w:r>
              <w:t xml:space="preserve"> дохода </w:t>
            </w:r>
          </w:p>
        </w:tc>
        <w:tc>
          <w:tcPr>
            <w:tcW w:w="1612" w:type="dxa"/>
            <w:vMerge w:val="restart"/>
          </w:tcPr>
          <w:p w:rsidR="00A05C80" w:rsidRDefault="00A05C80">
            <w:pPr>
              <w:pStyle w:val="ConsPlusNonformat"/>
              <w:jc w:val="both"/>
            </w:pPr>
            <w:r>
              <w:t xml:space="preserve"> Код цели  </w:t>
            </w:r>
          </w:p>
        </w:tc>
        <w:tc>
          <w:tcPr>
            <w:tcW w:w="6820" w:type="dxa"/>
            <w:gridSpan w:val="2"/>
          </w:tcPr>
          <w:p w:rsidR="00A05C80" w:rsidRDefault="00A05C80">
            <w:pPr>
              <w:pStyle w:val="ConsPlusNonformat"/>
              <w:jc w:val="both"/>
            </w:pPr>
            <w:r>
              <w:t xml:space="preserve">                    Поступления                     </w:t>
            </w:r>
          </w:p>
        </w:tc>
      </w:tr>
      <w:tr w:rsidR="00A05C80">
        <w:tc>
          <w:tcPr>
            <w:tcW w:w="1116" w:type="dxa"/>
            <w:vMerge/>
            <w:tcBorders>
              <w:top w:val="nil"/>
            </w:tcBorders>
          </w:tcPr>
          <w:p w:rsidR="00A05C80" w:rsidRDefault="00A05C80"/>
        </w:tc>
        <w:tc>
          <w:tcPr>
            <w:tcW w:w="1488" w:type="dxa"/>
            <w:vMerge/>
            <w:tcBorders>
              <w:top w:val="nil"/>
            </w:tcBorders>
          </w:tcPr>
          <w:p w:rsidR="00A05C80" w:rsidRDefault="00A05C80"/>
        </w:tc>
        <w:tc>
          <w:tcPr>
            <w:tcW w:w="3224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     За месяц        </w:t>
            </w:r>
          </w:p>
        </w:tc>
        <w:tc>
          <w:tcPr>
            <w:tcW w:w="3596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    С начала года       </w:t>
            </w:r>
          </w:p>
        </w:tc>
      </w:tr>
      <w:tr w:rsidR="00A05C80">
        <w:trPr>
          <w:trHeight w:val="251"/>
        </w:trPr>
        <w:tc>
          <w:tcPr>
            <w:tcW w:w="1240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1612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3224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        3            </w:t>
            </w:r>
          </w:p>
        </w:tc>
        <w:tc>
          <w:tcPr>
            <w:tcW w:w="3596" w:type="dxa"/>
            <w:tcBorders>
              <w:top w:val="nil"/>
            </w:tcBorders>
          </w:tcPr>
          <w:p w:rsidR="00A05C80" w:rsidRDefault="00A05C80">
            <w:pPr>
              <w:pStyle w:val="ConsPlusNonformat"/>
              <w:jc w:val="both"/>
            </w:pPr>
            <w:r>
              <w:t xml:space="preserve">             4             </w:t>
            </w:r>
          </w:p>
        </w:tc>
      </w:tr>
      <w:tr w:rsidR="00A05C80">
        <w:trPr>
          <w:trHeight w:val="251"/>
        </w:trPr>
        <w:tc>
          <w:tcPr>
            <w:tcW w:w="1240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612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3224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3596" w:type="dxa"/>
          </w:tcPr>
          <w:p w:rsidR="00A05C80" w:rsidRDefault="00A05C80">
            <w:pPr>
              <w:pStyle w:val="ConsPlusNonformat"/>
              <w:jc w:val="both"/>
            </w:pPr>
          </w:p>
        </w:tc>
      </w:tr>
      <w:tr w:rsidR="00A05C80">
        <w:trPr>
          <w:trHeight w:val="251"/>
        </w:trPr>
        <w:tc>
          <w:tcPr>
            <w:tcW w:w="1240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612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3224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3596" w:type="dxa"/>
          </w:tcPr>
          <w:p w:rsidR="00A05C80" w:rsidRDefault="00A05C80">
            <w:pPr>
              <w:pStyle w:val="ConsPlusNonformat"/>
              <w:jc w:val="both"/>
            </w:pPr>
          </w:p>
        </w:tc>
      </w:tr>
      <w:tr w:rsidR="00A05C80">
        <w:trPr>
          <w:trHeight w:val="251"/>
        </w:trPr>
        <w:tc>
          <w:tcPr>
            <w:tcW w:w="1240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612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3224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3596" w:type="dxa"/>
          </w:tcPr>
          <w:p w:rsidR="00A05C80" w:rsidRDefault="00A05C80">
            <w:pPr>
              <w:pStyle w:val="ConsPlusNonformat"/>
              <w:jc w:val="both"/>
            </w:pPr>
          </w:p>
        </w:tc>
      </w:tr>
      <w:tr w:rsidR="00A05C80">
        <w:trPr>
          <w:trHeight w:val="251"/>
        </w:trPr>
        <w:tc>
          <w:tcPr>
            <w:tcW w:w="1240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1612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3224" w:type="dxa"/>
          </w:tcPr>
          <w:p w:rsidR="00A05C80" w:rsidRDefault="00A05C80">
            <w:pPr>
              <w:pStyle w:val="ConsPlusNonformat"/>
              <w:jc w:val="both"/>
            </w:pPr>
          </w:p>
        </w:tc>
        <w:tc>
          <w:tcPr>
            <w:tcW w:w="3596" w:type="dxa"/>
          </w:tcPr>
          <w:p w:rsidR="00A05C80" w:rsidRDefault="00A05C80">
            <w:pPr>
              <w:pStyle w:val="ConsPlusNonformat"/>
              <w:jc w:val="both"/>
            </w:pPr>
          </w:p>
        </w:tc>
      </w:tr>
    </w:tbl>
    <w:p w:rsidR="00A05C80" w:rsidRDefault="00A05C80">
      <w:pPr>
        <w:pStyle w:val="ConsPlusNormal"/>
        <w:jc w:val="center"/>
      </w:pPr>
    </w:p>
    <w:p w:rsidR="00A05C80" w:rsidRDefault="00A05C80">
      <w:pPr>
        <w:pStyle w:val="ConsPlusNonformat"/>
        <w:jc w:val="both"/>
      </w:pPr>
      <w:r>
        <w:t>Руководитель управления        _________             ______________________</w:t>
      </w:r>
    </w:p>
    <w:p w:rsidR="00A05C80" w:rsidRDefault="00A05C80">
      <w:pPr>
        <w:pStyle w:val="ConsPlusNonformat"/>
        <w:jc w:val="both"/>
      </w:pPr>
      <w:r>
        <w:t xml:space="preserve">                               (подпись)              (расшифровка подписи)</w:t>
      </w:r>
    </w:p>
    <w:p w:rsidR="00A05C80" w:rsidRDefault="00A05C80">
      <w:pPr>
        <w:pStyle w:val="ConsPlusNonformat"/>
        <w:jc w:val="both"/>
      </w:pPr>
      <w:r>
        <w:t>Исполнитель                    _________             ______________________</w:t>
      </w:r>
    </w:p>
    <w:p w:rsidR="00A05C80" w:rsidRDefault="00A05C80">
      <w:pPr>
        <w:pStyle w:val="ConsPlusNonformat"/>
        <w:jc w:val="both"/>
      </w:pPr>
      <w:r>
        <w:t xml:space="preserve">                               (подпись)              (расшифровка подписи)</w:t>
      </w:r>
    </w:p>
    <w:p w:rsidR="00A05C80" w:rsidRDefault="00A05C80">
      <w:pPr>
        <w:pStyle w:val="ConsPlusNormal"/>
      </w:pPr>
    </w:p>
    <w:p w:rsidR="00A05C80" w:rsidRDefault="00A05C80">
      <w:pPr>
        <w:pStyle w:val="ConsPlusNormal"/>
      </w:pPr>
    </w:p>
    <w:p w:rsidR="00A05C80" w:rsidRDefault="00A05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C17" w:rsidRDefault="00890C17"/>
    <w:sectPr w:rsidR="00890C17" w:rsidSect="0055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A05C80"/>
    <w:rsid w:val="00890C17"/>
    <w:rsid w:val="00A0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8D930238F7B31D588C7097510AC56E32F6EBCB71765030343C7F57DE77D50E249FCEFD677DD7B82CF4AA5D7B99429E10F10C008949664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AD8D930238F7B31D58927D813D56CD6F3AADE3CA7D220B6C326B2007D822954E22CA8DB86E7FD2B378A2EE0322CB06D51DF6121C894C7F7A04EC624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D8D930238F7B31D58927D813D56CD6F3AADE3CA7D220B6C326B2007D822954E22CA8DB86E7FD2B378A6E80322CB06D51DF6121C894C7F7A04EC6241G" TargetMode="External"/><Relationship Id="rId5" Type="http://schemas.openxmlformats.org/officeDocument/2006/relationships/hyperlink" Target="consultantplus://offline/ref=B4AD8D930238F7B31D58927D813D56CD6F3AADE3CA7D220B6C326B2007D822954E22CA8DB86E7FD2B378A4EE0322CB06D51DF6121C894C7F7A04EC6241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2019-04-30T06:56:00Z</dcterms:created>
  <dcterms:modified xsi:type="dcterms:W3CDTF">2019-04-30T06:57:00Z</dcterms:modified>
</cp:coreProperties>
</file>