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D6" w:rsidRDefault="00F779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79D6" w:rsidRDefault="00F779D6">
      <w:pPr>
        <w:pStyle w:val="ConsPlusNormal"/>
        <w:jc w:val="both"/>
        <w:outlineLvl w:val="0"/>
      </w:pPr>
    </w:p>
    <w:p w:rsidR="00F779D6" w:rsidRDefault="00F779D6">
      <w:pPr>
        <w:pStyle w:val="ConsPlusTitle"/>
        <w:jc w:val="center"/>
        <w:outlineLvl w:val="0"/>
      </w:pPr>
      <w:r>
        <w:t>ПРАВИТЕЛЬСТВО САМАРСКОЙ ОБЛАСТИ</w:t>
      </w:r>
    </w:p>
    <w:p w:rsidR="00F779D6" w:rsidRDefault="00F779D6">
      <w:pPr>
        <w:pStyle w:val="ConsPlusTitle"/>
        <w:jc w:val="both"/>
      </w:pPr>
    </w:p>
    <w:p w:rsidR="00F779D6" w:rsidRDefault="00F779D6">
      <w:pPr>
        <w:pStyle w:val="ConsPlusTitle"/>
        <w:jc w:val="center"/>
      </w:pPr>
      <w:r>
        <w:t>ПОСТАНОВЛЕНИЕ</w:t>
      </w:r>
    </w:p>
    <w:p w:rsidR="00F779D6" w:rsidRDefault="00F779D6">
      <w:pPr>
        <w:pStyle w:val="ConsPlusTitle"/>
        <w:jc w:val="center"/>
      </w:pPr>
      <w:r>
        <w:t>от 16 июля 2019 г. N 484</w:t>
      </w:r>
    </w:p>
    <w:p w:rsidR="00F779D6" w:rsidRDefault="00F779D6">
      <w:pPr>
        <w:pStyle w:val="ConsPlusTitle"/>
        <w:jc w:val="both"/>
      </w:pPr>
    </w:p>
    <w:p w:rsidR="00F779D6" w:rsidRDefault="00F779D6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F779D6" w:rsidRDefault="00F779D6">
      <w:pPr>
        <w:pStyle w:val="ConsPlusTitle"/>
        <w:jc w:val="center"/>
      </w:pPr>
      <w:r>
        <w:t>ОБЛАСТИ ОТ 22.02.2013 N 50 "ОБ УТВЕРЖДЕНИИ ПОРЯДКА РАСЧЕТА</w:t>
      </w:r>
    </w:p>
    <w:p w:rsidR="00F779D6" w:rsidRDefault="00F779D6">
      <w:pPr>
        <w:pStyle w:val="ConsPlusTitle"/>
        <w:jc w:val="center"/>
      </w:pPr>
      <w:r>
        <w:t>И ПРЕДОСТАВЛЕНИЯ ИЗ ОБЛАСТНОГО БЮДЖЕТА МЕСТНЫМ БЮДЖЕТАМ</w:t>
      </w:r>
    </w:p>
    <w:p w:rsidR="00F779D6" w:rsidRDefault="00F779D6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F779D6" w:rsidRDefault="00F779D6">
      <w:pPr>
        <w:pStyle w:val="ConsPlusTitle"/>
        <w:jc w:val="center"/>
      </w:pPr>
      <w:r>
        <w:t>МУНИЦИПАЛЬНЫМИ ФИНАНСАМИ"</w:t>
      </w: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F779D6" w:rsidRDefault="00F779D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22.02.2013 N 50 "Об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финансами" следующие изменения:</w:t>
      </w:r>
    </w:p>
    <w:p w:rsidR="00F779D6" w:rsidRDefault="00F779D6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Порядку расчета и предоставления из областного бюджета местным бюджетам дотаций на стимулирование повышения качества управления муниципальными финансами:</w:t>
      </w:r>
    </w:p>
    <w:p w:rsidR="00F779D6" w:rsidRDefault="00F779D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4.1</w:t>
        </w:r>
      </w:hyperlink>
      <w:r>
        <w:t xml:space="preserve"> признать утратившим силу;</w:t>
      </w:r>
    </w:p>
    <w:p w:rsidR="00F779D6" w:rsidRDefault="00F779D6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9 графу</w:t>
        </w:r>
      </w:hyperlink>
      <w:r>
        <w:t xml:space="preserve"> "Порядок расчета показателя" после слов "расчетами по страховым взносам на обязательное пенсионное страхование на выплату накопительной части трудовой пенсии" дополнить словами ", расчетами по удержаниям из выплат по оплате труда";</w:t>
      </w:r>
    </w:p>
    <w:p w:rsidR="00F779D6" w:rsidRDefault="00F779D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пунктами 4.2, 4.3 и 4.4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779D6" w:rsidRDefault="00F779D6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F779D6" w:rsidRDefault="00F779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применяется при расчете и предоставлении из областного бюджета местным бюджетам дотаций на стимулирование повышения качества управления муниципальными финансами по итогам исполнения местных бюджетов за первое полугодие 2019 года и последующие отчетные периоды.</w:t>
      </w: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right"/>
      </w:pPr>
      <w:r>
        <w:t>И.о. первого вице-губернатора - председателя</w:t>
      </w:r>
    </w:p>
    <w:p w:rsidR="00F779D6" w:rsidRDefault="00F779D6">
      <w:pPr>
        <w:pStyle w:val="ConsPlusNormal"/>
        <w:jc w:val="right"/>
      </w:pPr>
      <w:r>
        <w:t>Правительства Самарской области</w:t>
      </w:r>
    </w:p>
    <w:p w:rsidR="00F779D6" w:rsidRDefault="00F779D6">
      <w:pPr>
        <w:pStyle w:val="ConsPlusNormal"/>
        <w:jc w:val="right"/>
      </w:pPr>
      <w:r>
        <w:t>В.В.КУДРЯШОВ</w:t>
      </w: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right"/>
        <w:outlineLvl w:val="0"/>
      </w:pPr>
      <w:r>
        <w:t>Приложение</w:t>
      </w:r>
    </w:p>
    <w:p w:rsidR="00F779D6" w:rsidRDefault="00F779D6">
      <w:pPr>
        <w:pStyle w:val="ConsPlusNormal"/>
        <w:jc w:val="right"/>
      </w:pPr>
      <w:r>
        <w:t>к Постановлению</w:t>
      </w:r>
    </w:p>
    <w:p w:rsidR="00F779D6" w:rsidRDefault="00F779D6">
      <w:pPr>
        <w:pStyle w:val="ConsPlusNormal"/>
        <w:jc w:val="right"/>
      </w:pPr>
      <w:r>
        <w:t>Правительства Самарской области</w:t>
      </w:r>
    </w:p>
    <w:p w:rsidR="00F779D6" w:rsidRDefault="00F779D6">
      <w:pPr>
        <w:pStyle w:val="ConsPlusNormal"/>
        <w:jc w:val="right"/>
      </w:pPr>
      <w:r>
        <w:t>от 16 июля 2019 г. N 484</w:t>
      </w: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Title"/>
        <w:jc w:val="center"/>
      </w:pPr>
      <w:bookmarkStart w:id="0" w:name="P34"/>
      <w:bookmarkEnd w:id="0"/>
      <w:r>
        <w:t>ПОКАЗАТЕЛИ</w:t>
      </w:r>
    </w:p>
    <w:p w:rsidR="00F779D6" w:rsidRDefault="00F779D6">
      <w:pPr>
        <w:pStyle w:val="ConsPlusTitle"/>
        <w:jc w:val="center"/>
      </w:pPr>
      <w:r>
        <w:t>КАЧЕСТВА УПРАВЛЕНИЯ МУНИЦИПАЛЬНЫМИ ФИНАНСАМИ</w:t>
      </w:r>
    </w:p>
    <w:p w:rsidR="00F779D6" w:rsidRDefault="00F779D6">
      <w:pPr>
        <w:pStyle w:val="ConsPlusNormal"/>
        <w:jc w:val="both"/>
      </w:pPr>
    </w:p>
    <w:p w:rsidR="00F779D6" w:rsidRDefault="00F779D6">
      <w:pPr>
        <w:sectPr w:rsidR="00F779D6" w:rsidSect="004F2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41"/>
        <w:gridCol w:w="5216"/>
        <w:gridCol w:w="3685"/>
        <w:gridCol w:w="1020"/>
      </w:tblGrid>
      <w:tr w:rsidR="00F779D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Порядок расчета показателя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Перечень представляемых документов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F779D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r>
              <w:t>Динамика поступления налога на доходы физических лиц в бюджет муниципального образования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r>
              <w:t>Отношение поступлений налога на доходы физических лиц в бюджет городского округа (консолидированный бюджет муниципального образования) за отчетный период к аналогичному периоду предшествующего календарного года (с учетом сопоставимых нормативов отчислений от налога)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0503317, утвержденной приказом Министерства финансов Российской Федерации от 28.12.2010 N 191н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+1</w:t>
            </w:r>
          </w:p>
        </w:tc>
      </w:tr>
      <w:tr w:rsidR="00F779D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r>
              <w:t>Динамика поступления налога, взимаемого в связи с применением упрощенной системы налогообложения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r>
              <w:t>Отношение поступлений налога, взимаемого в связи с применением упрощенной системы налогообложения, в бюджет городского округа (консолидированный бюджет муниципального образования) за отчетный период к аналогичному периоду предшествующего календарного года (с учетом сопоставимых нормативов отчислений от налога)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0503317, утвержденной приказом Министерства финансов Российской Федерации от 28.12.2010 N 191н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+1</w:t>
            </w:r>
          </w:p>
        </w:tc>
      </w:tr>
      <w:tr w:rsidR="00F779D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r>
              <w:t>Учет земельных участков в налоговых органах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both"/>
            </w:pPr>
            <w:r>
              <w:t>Учет земельных участков в налоговых органах определяется по формуле:</w:t>
            </w:r>
          </w:p>
          <w:p w:rsidR="00F779D6" w:rsidRDefault="00F779D6">
            <w:pPr>
              <w:pStyle w:val="ConsPlusNormal"/>
              <w:jc w:val="center"/>
            </w:pPr>
            <w:r>
              <w:t>ЗУну / (ЗУку - ЗУгос),</w:t>
            </w:r>
          </w:p>
          <w:p w:rsidR="00F779D6" w:rsidRDefault="00F779D6">
            <w:pPr>
              <w:pStyle w:val="ConsPlusNormal"/>
              <w:jc w:val="both"/>
            </w:pPr>
            <w:r>
              <w:t xml:space="preserve">где ЗУну - количество земельных участков, состоящих на налоговом учете по муниципальному образованию, согласно статистической налоговой отчетности по </w:t>
            </w:r>
            <w:hyperlink r:id="rId13" w:history="1">
              <w:r>
                <w:rPr>
                  <w:color w:val="0000FF"/>
                </w:rPr>
                <w:t>форме</w:t>
              </w:r>
            </w:hyperlink>
            <w:r>
              <w:t xml:space="preserve"> 5-МН за календарный год, предшествующий отчетному году, а также дополнительно поступившей официальной информации налоговых органов за отчетный период;</w:t>
            </w:r>
          </w:p>
          <w:p w:rsidR="00F779D6" w:rsidRDefault="00F779D6">
            <w:pPr>
              <w:pStyle w:val="ConsPlusNormal"/>
              <w:jc w:val="both"/>
            </w:pPr>
            <w:r>
              <w:lastRenderedPageBreak/>
              <w:t>ЗУку - количество земельных участков, состоящих на кадастровом учете по муниципальному образованию, согласно информации, полученной министерством от органов Росреестра по Самарской области за отчетный период и доведенной министерством до муниципальных образований. В случае расхождения информации Росреестра, полученной от министерства, с данными муниципальных образований (в том числе при несовпадении границ кадастрового и административного деления) муниципальное образование в течение 30 календарных дней с момента доведения информации министерством представляет в министерство для рассмотрения уточненную информацию о количестве учтенных участков;</w:t>
            </w:r>
          </w:p>
          <w:p w:rsidR="00F779D6" w:rsidRDefault="00F779D6">
            <w:pPr>
              <w:pStyle w:val="ConsPlusNormal"/>
              <w:jc w:val="both"/>
            </w:pPr>
            <w:r>
              <w:t>ЗУгос - количество земельных участков, состоящих на кадастровом учете по муниципальному образованию и находящихся в государственной и муниципальной собственности, а также имеющих статус "временный", согласно информации, полученной министерством от органов Росреестра по Самарской области за отчетный период и доведенной министерством до муниципальных образований. В случае расхождения информации Росреестра, полученной от министерства, с данными муниципальных образований о земельных участках, не подлежащих налогообложению, муниципальное образование в течение 30 календарных дней с момента доведения информации министерством представляет в министерство для рассмотрения уточненную информацию об указанных участках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79D6" w:rsidRDefault="00F779D6">
            <w:pPr>
              <w:pStyle w:val="ConsPlusNormal"/>
              <w:jc w:val="center"/>
            </w:pPr>
            <w:r>
              <w:t>+2</w:t>
            </w:r>
          </w:p>
        </w:tc>
      </w:tr>
    </w:tbl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jc w:val="both"/>
      </w:pPr>
    </w:p>
    <w:p w:rsidR="00F779D6" w:rsidRDefault="00F77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4479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779D6"/>
    <w:rsid w:val="00A9615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BBDFCEB2E286E5E8C5891C74ABA969C9AC4C1CE24DC6C7F68A0737A4B3F2E8912540A700965FA86460E980768CF66EA10055BF255B5BB8752EACA701H" TargetMode="External"/><Relationship Id="rId13" Type="http://schemas.openxmlformats.org/officeDocument/2006/relationships/hyperlink" Target="consultantplus://offline/ref=760DBBDFCEB2E286E5E8C7840D18F7A16EC5FB431AE81C9E90FB80526FFBEAB0AF982F14E4449B5AA33030AAD270DAAE34F40949B43B59A50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DBBDFCEB2E286E5E8C5891C74ABA969C9AC4C1CE24DC6C7F68A0737A4B3F2E8912540A700965FA86461E987768CF66EA10055BF255B5BB8752EACA701H" TargetMode="External"/><Relationship Id="rId12" Type="http://schemas.openxmlformats.org/officeDocument/2006/relationships/hyperlink" Target="consultantplus://offline/ref=760DBBDFCEB2E286E5E8DB840A18F7A16CC0F4461AEB419498A28C5068F4B5A7A8D12315E442995AAF6F35BFC328D5A523EA0D53A8395B5DAA0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BBDFCEB2E286E5E8C5891C74ABA969C9AC4C1CE24DC6C7F68A0737A4B3F2E8912540B500CE53AA6D7FEE8363DAA728AF04H" TargetMode="External"/><Relationship Id="rId11" Type="http://schemas.openxmlformats.org/officeDocument/2006/relationships/hyperlink" Target="consultantplus://offline/ref=760DBBDFCEB2E286E5E8DB840A18F7A16CC0F4461AEB419498A28C5068F4B5A7A8D12315E442995AAF6F35BFC328D5A523EA0D53A8395B5DAA06H" TargetMode="External"/><Relationship Id="rId5" Type="http://schemas.openxmlformats.org/officeDocument/2006/relationships/hyperlink" Target="consultantplus://offline/ref=760DBBDFCEB2E286E5E8C5891C74ABA969C9AC4C1CE24ACACCF68A0737A4B3F2E8912540B500CE53AA6D7FEE8363DAA728AF0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0DBBDFCEB2E286E5E8C5891C74ABA969C9AC4C1CE24DC6C7F68A0737A4B3F2E8912540A700965FA86461E987768CF66EA10055BF255B5BB8752EACA70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0DBBDFCEB2E286E5E8C5891C74ABA969C9AC4C1CE24DC6C7F68A0737A4B3F2E8912540A700965FA86462EB86768CF66EA10055BF255B5BB8752EACA70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2020-04-29T07:52:00Z</dcterms:created>
  <dcterms:modified xsi:type="dcterms:W3CDTF">2020-04-29T07:52:00Z</dcterms:modified>
</cp:coreProperties>
</file>