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01" w:rsidRDefault="004B78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7801" w:rsidRDefault="004B7801">
      <w:pPr>
        <w:pStyle w:val="ConsPlusNormal"/>
        <w:jc w:val="both"/>
        <w:outlineLvl w:val="0"/>
      </w:pPr>
    </w:p>
    <w:p w:rsidR="004B7801" w:rsidRDefault="004B7801">
      <w:pPr>
        <w:pStyle w:val="ConsPlusTitle"/>
        <w:jc w:val="center"/>
        <w:outlineLvl w:val="0"/>
      </w:pPr>
      <w:r>
        <w:t>ПРАВИТЕЛЬСТВО САМАРСКОЙ ОБЛАСТИ</w:t>
      </w:r>
    </w:p>
    <w:p w:rsidR="004B7801" w:rsidRDefault="004B7801">
      <w:pPr>
        <w:pStyle w:val="ConsPlusTitle"/>
        <w:jc w:val="center"/>
      </w:pPr>
    </w:p>
    <w:p w:rsidR="004B7801" w:rsidRDefault="004B7801">
      <w:pPr>
        <w:pStyle w:val="ConsPlusTitle"/>
        <w:jc w:val="center"/>
      </w:pPr>
      <w:r>
        <w:t>ПОСТАНОВЛЕНИЕ</w:t>
      </w:r>
    </w:p>
    <w:p w:rsidR="004B7801" w:rsidRDefault="004B7801">
      <w:pPr>
        <w:pStyle w:val="ConsPlusTitle"/>
        <w:jc w:val="center"/>
      </w:pPr>
      <w:r>
        <w:t>от 10 декабря 2008 г. N 479</w:t>
      </w:r>
    </w:p>
    <w:p w:rsidR="004B7801" w:rsidRDefault="004B7801">
      <w:pPr>
        <w:pStyle w:val="ConsPlusTitle"/>
        <w:jc w:val="center"/>
      </w:pPr>
    </w:p>
    <w:p w:rsidR="004B7801" w:rsidRDefault="004B7801">
      <w:pPr>
        <w:pStyle w:val="ConsPlusTitle"/>
        <w:jc w:val="center"/>
      </w:pPr>
      <w:r>
        <w:t>ОБ УТВЕРЖДЕНИИ МЕТОДИКИ ОПРЕДЕЛЕНИЯ НОРМАТИВОВ ФОРМИРОВАНИЯ</w:t>
      </w:r>
    </w:p>
    <w:p w:rsidR="004B7801" w:rsidRDefault="004B7801">
      <w:pPr>
        <w:pStyle w:val="ConsPlusTitle"/>
        <w:jc w:val="center"/>
      </w:pPr>
      <w:r>
        <w:t>РАСХОДОВ НА СОДЕРЖАНИЕ ОРГАНОВ МЕСТНОГО САМОУПРАВЛЕНИЯ</w:t>
      </w:r>
    </w:p>
    <w:p w:rsidR="004B7801" w:rsidRDefault="004B7801">
      <w:pPr>
        <w:pStyle w:val="ConsPlusTitle"/>
        <w:jc w:val="center"/>
      </w:pPr>
      <w:r>
        <w:t>МУНИЦИПАЛЬНЫХ РАЙОНОВ И ГОРОДСКИХ ОКРУГОВ САМАРСКОЙ ОБЛАСТИ,</w:t>
      </w:r>
    </w:p>
    <w:p w:rsidR="004B7801" w:rsidRDefault="004B7801">
      <w:pPr>
        <w:pStyle w:val="ConsPlusTitle"/>
        <w:jc w:val="center"/>
      </w:pPr>
      <w:r>
        <w:t xml:space="preserve">В </w:t>
      </w:r>
      <w:proofErr w:type="gramStart"/>
      <w:r>
        <w:t>БЮДЖЕТАХ</w:t>
      </w:r>
      <w:proofErr w:type="gramEnd"/>
      <w:r>
        <w:t xml:space="preserve"> КОТОРЫХ ДОЛЯ ДОТАЦИЙ ИЗ ДРУГИХ БЮДЖЕТОВ БЮДЖЕТНОЙ</w:t>
      </w:r>
    </w:p>
    <w:p w:rsidR="004B7801" w:rsidRDefault="004B7801">
      <w:pPr>
        <w:pStyle w:val="ConsPlusTitle"/>
        <w:jc w:val="center"/>
      </w:pPr>
      <w:r>
        <w:t>СИСТЕМЫ РОССИЙСКОЙ ФЕДЕРАЦИИ И (ИЛИ) НАЛОГОВЫХ ДОХОДОВ</w:t>
      </w:r>
    </w:p>
    <w:p w:rsidR="004B7801" w:rsidRDefault="004B7801">
      <w:pPr>
        <w:pStyle w:val="ConsPlusTitle"/>
        <w:jc w:val="center"/>
      </w:pPr>
      <w:r>
        <w:t>ПО ДОПОЛНИТЕЛЬНЫМ НОРМАТИВАМ ОТЧИСЛЕНИЙ В РАЗМЕРЕ,</w:t>
      </w:r>
    </w:p>
    <w:p w:rsidR="004B7801" w:rsidRDefault="004B7801">
      <w:pPr>
        <w:pStyle w:val="ConsPlusTitle"/>
        <w:jc w:val="center"/>
      </w:pPr>
      <w:r>
        <w:t xml:space="preserve">НЕ </w:t>
      </w:r>
      <w:proofErr w:type="gramStart"/>
      <w:r>
        <w:t>ПРЕВЫШАЮЩЕМ</w:t>
      </w:r>
      <w:proofErr w:type="gramEnd"/>
      <w:r>
        <w:t xml:space="preserve"> РАСЧЕТНОГО ОБЪЕМА ДОТАЦИИ НА ВЫРАВНИВАНИЕ</w:t>
      </w:r>
    </w:p>
    <w:p w:rsidR="004B7801" w:rsidRDefault="004B7801">
      <w:pPr>
        <w:pStyle w:val="ConsPlusTitle"/>
        <w:jc w:val="center"/>
      </w:pPr>
      <w:r>
        <w:t>БЮДЖЕТНОЙ ОБЕСПЕЧЕННОСТИ (ЧАСТИ РАСЧЕТНОГО ОБЪЕМА ДОТАЦИИ),</w:t>
      </w:r>
    </w:p>
    <w:p w:rsidR="004B7801" w:rsidRDefault="004B7801">
      <w:pPr>
        <w:pStyle w:val="ConsPlusTitle"/>
        <w:jc w:val="center"/>
      </w:pPr>
      <w:proofErr w:type="gramStart"/>
      <w:r>
        <w:t>ЗАМЕНЕННОЙ ДОПОЛНИТЕЛЬНЫМИ НОРМАТИВАМИ ОТЧИСЛЕНИЙ, В ТЕЧЕНИЕ</w:t>
      </w:r>
      <w:proofErr w:type="gramEnd"/>
    </w:p>
    <w:p w:rsidR="004B7801" w:rsidRDefault="004B7801">
      <w:pPr>
        <w:pStyle w:val="ConsPlusTitle"/>
        <w:jc w:val="center"/>
      </w:pPr>
      <w:r>
        <w:t>ДВУХ ИЗ ТРЕХ ПОСЛЕДНИХ ОТЧЕТНЫХ ФИНАНСОВЫХ ЛЕТ ПРЕВЫШАЛА</w:t>
      </w:r>
    </w:p>
    <w:p w:rsidR="004B7801" w:rsidRDefault="004B7801">
      <w:pPr>
        <w:pStyle w:val="ConsPlusTitle"/>
        <w:jc w:val="center"/>
      </w:pPr>
      <w:r>
        <w:t>5 ПРОЦЕНТОВ СОБСТВЕННЫХ ДОХОДОВ МЕСТНОГО БЮДЖЕТА</w:t>
      </w:r>
    </w:p>
    <w:p w:rsidR="004B7801" w:rsidRDefault="004B78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78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801" w:rsidRDefault="004B78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801" w:rsidRDefault="004B78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Самарской области</w:t>
            </w:r>
            <w:proofErr w:type="gramEnd"/>
          </w:p>
          <w:p w:rsidR="004B7801" w:rsidRDefault="004B78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10.11.2010 </w:t>
            </w:r>
            <w:hyperlink r:id="rId5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16.10.2014 </w:t>
            </w:r>
            <w:hyperlink r:id="rId6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12.10.2015 </w:t>
            </w:r>
            <w:hyperlink r:id="rId7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7801" w:rsidRDefault="004B7801">
      <w:pPr>
        <w:pStyle w:val="ConsPlusNormal"/>
        <w:jc w:val="both"/>
      </w:pPr>
    </w:p>
    <w:p w:rsidR="004B7801" w:rsidRDefault="004B7801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статьи 136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42" w:history="1">
        <w:r>
          <w:rPr>
            <w:color w:val="0000FF"/>
          </w:rPr>
          <w:t>Методику</w:t>
        </w:r>
      </w:hyperlink>
      <w:r>
        <w:t xml:space="preserve"> определения нормативов формирования расходов на содержание органов местного самоуправления муниципальных районов и городских округов Самарской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</w:t>
      </w:r>
      <w:proofErr w:type="gramEnd"/>
      <w:r>
        <w:t xml:space="preserve"> двух из трех последних отчетных финансовых лет превышала 5 процентов собственных доходов местного бюджета.</w:t>
      </w:r>
    </w:p>
    <w:p w:rsidR="004B7801" w:rsidRDefault="004B7801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12.10.2015 N 642)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 (Кандеева).</w:t>
      </w:r>
    </w:p>
    <w:p w:rsidR="004B7801" w:rsidRDefault="004B78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16.10.2014 N 641)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4B7801" w:rsidRDefault="004B7801">
      <w:pPr>
        <w:pStyle w:val="ConsPlusNormal"/>
        <w:jc w:val="both"/>
      </w:pPr>
    </w:p>
    <w:p w:rsidR="004B7801" w:rsidRDefault="004B7801">
      <w:pPr>
        <w:pStyle w:val="ConsPlusNormal"/>
        <w:jc w:val="right"/>
      </w:pPr>
      <w:r>
        <w:t>Губернатор - председатель</w:t>
      </w:r>
    </w:p>
    <w:p w:rsidR="004B7801" w:rsidRDefault="004B7801">
      <w:pPr>
        <w:pStyle w:val="ConsPlusNormal"/>
        <w:jc w:val="right"/>
      </w:pPr>
      <w:r>
        <w:t>Правительства Самарской области</w:t>
      </w:r>
    </w:p>
    <w:p w:rsidR="004B7801" w:rsidRDefault="004B7801">
      <w:pPr>
        <w:pStyle w:val="ConsPlusNormal"/>
        <w:jc w:val="right"/>
      </w:pPr>
      <w:r>
        <w:t>В.В.АРТЯКОВ</w:t>
      </w:r>
    </w:p>
    <w:p w:rsidR="004B7801" w:rsidRDefault="004B7801">
      <w:pPr>
        <w:pStyle w:val="ConsPlusNormal"/>
        <w:jc w:val="both"/>
      </w:pPr>
    </w:p>
    <w:p w:rsidR="004B7801" w:rsidRDefault="004B7801">
      <w:pPr>
        <w:pStyle w:val="ConsPlusNormal"/>
        <w:jc w:val="both"/>
      </w:pPr>
    </w:p>
    <w:p w:rsidR="004B7801" w:rsidRDefault="004B7801">
      <w:pPr>
        <w:pStyle w:val="ConsPlusNormal"/>
        <w:jc w:val="both"/>
      </w:pPr>
    </w:p>
    <w:p w:rsidR="004B7801" w:rsidRDefault="004B7801">
      <w:pPr>
        <w:pStyle w:val="ConsPlusNormal"/>
        <w:jc w:val="both"/>
      </w:pPr>
    </w:p>
    <w:p w:rsidR="004B7801" w:rsidRDefault="004B7801">
      <w:pPr>
        <w:pStyle w:val="ConsPlusNormal"/>
        <w:jc w:val="both"/>
      </w:pPr>
    </w:p>
    <w:p w:rsidR="004B7801" w:rsidRDefault="004B7801">
      <w:pPr>
        <w:pStyle w:val="ConsPlusNormal"/>
        <w:jc w:val="right"/>
        <w:outlineLvl w:val="0"/>
      </w:pPr>
      <w:r>
        <w:t>Утверждена</w:t>
      </w:r>
    </w:p>
    <w:p w:rsidR="004B7801" w:rsidRDefault="004B7801">
      <w:pPr>
        <w:pStyle w:val="ConsPlusNormal"/>
        <w:jc w:val="right"/>
      </w:pPr>
      <w:r>
        <w:lastRenderedPageBreak/>
        <w:t>Постановлением</w:t>
      </w:r>
    </w:p>
    <w:p w:rsidR="004B7801" w:rsidRDefault="004B7801">
      <w:pPr>
        <w:pStyle w:val="ConsPlusNormal"/>
        <w:jc w:val="right"/>
      </w:pPr>
      <w:r>
        <w:t>Правительства Самарской области</w:t>
      </w:r>
    </w:p>
    <w:p w:rsidR="004B7801" w:rsidRDefault="004B7801">
      <w:pPr>
        <w:pStyle w:val="ConsPlusNormal"/>
        <w:jc w:val="right"/>
      </w:pPr>
      <w:r>
        <w:t>от 10 декабря 2008 г. N 479</w:t>
      </w:r>
    </w:p>
    <w:p w:rsidR="004B7801" w:rsidRDefault="004B7801">
      <w:pPr>
        <w:pStyle w:val="ConsPlusNormal"/>
        <w:jc w:val="both"/>
      </w:pPr>
    </w:p>
    <w:p w:rsidR="004B7801" w:rsidRDefault="004B7801">
      <w:pPr>
        <w:pStyle w:val="ConsPlusTitle"/>
        <w:jc w:val="center"/>
      </w:pPr>
      <w:bookmarkStart w:id="0" w:name="P42"/>
      <w:bookmarkEnd w:id="0"/>
      <w:r>
        <w:t>МЕТОДИКА</w:t>
      </w:r>
    </w:p>
    <w:p w:rsidR="004B7801" w:rsidRDefault="004B7801">
      <w:pPr>
        <w:pStyle w:val="ConsPlusTitle"/>
        <w:jc w:val="center"/>
      </w:pPr>
      <w:r>
        <w:t>ОПРЕДЕЛЕНИЯ НОРМАТИВОВ ФОРМИРОВАНИЯ РАСХОДОВ НА СОДЕРЖАНИЕ</w:t>
      </w:r>
    </w:p>
    <w:p w:rsidR="004B7801" w:rsidRDefault="004B7801">
      <w:pPr>
        <w:pStyle w:val="ConsPlusTitle"/>
        <w:jc w:val="center"/>
      </w:pPr>
      <w:r>
        <w:t>ОРГАНОВ МЕСТНОГО САМОУПРАВЛЕНИЯ МУНИЦИПАЛЬНЫХ РАЙОНОВ И</w:t>
      </w:r>
    </w:p>
    <w:p w:rsidR="004B7801" w:rsidRDefault="004B7801">
      <w:pPr>
        <w:pStyle w:val="ConsPlusTitle"/>
        <w:jc w:val="center"/>
      </w:pPr>
      <w:r>
        <w:t>ГОРОДСКИХ ОКРУГОВ САМАРСКОЙ ОБЛАСТИ, В БЮДЖЕТАХ КОТОРЫХ</w:t>
      </w:r>
    </w:p>
    <w:p w:rsidR="004B7801" w:rsidRDefault="004B7801">
      <w:pPr>
        <w:pStyle w:val="ConsPlusTitle"/>
        <w:jc w:val="center"/>
      </w:pPr>
      <w:r>
        <w:t>ДОЛЯ ДОТАЦИЙ ИЗ ДРУГИХ БЮДЖЕТОВ БЮДЖЕТНОЙ СИСТЕМЫ</w:t>
      </w:r>
    </w:p>
    <w:p w:rsidR="004B7801" w:rsidRDefault="004B7801">
      <w:pPr>
        <w:pStyle w:val="ConsPlusTitle"/>
        <w:jc w:val="center"/>
      </w:pPr>
      <w:r>
        <w:t xml:space="preserve">РОССИЙСКОЙ ФЕДЕРАЦИИ И (ИЛИ) НАЛОГОВЫХ ДОХОДОВ </w:t>
      </w:r>
      <w:proofErr w:type="gramStart"/>
      <w:r>
        <w:t>ПО</w:t>
      </w:r>
      <w:proofErr w:type="gramEnd"/>
    </w:p>
    <w:p w:rsidR="004B7801" w:rsidRDefault="004B7801">
      <w:pPr>
        <w:pStyle w:val="ConsPlusTitle"/>
        <w:jc w:val="center"/>
      </w:pPr>
      <w:r>
        <w:t>ДОПОЛНИТЕЛЬНЫМ НОРМАТИВАМ ОТЧИСЛЕНИЙ В РАЗМЕРЕ, НЕ</w:t>
      </w:r>
    </w:p>
    <w:p w:rsidR="004B7801" w:rsidRDefault="004B7801">
      <w:pPr>
        <w:pStyle w:val="ConsPlusTitle"/>
        <w:jc w:val="center"/>
      </w:pPr>
      <w:proofErr w:type="gramStart"/>
      <w:r>
        <w:t>ПРЕВЫШАЮЩЕМ</w:t>
      </w:r>
      <w:proofErr w:type="gramEnd"/>
      <w:r>
        <w:t xml:space="preserve"> РАСЧЕТНОГО ОБЪЕМА ДОТАЦИИ НА ВЫРАВНИВАНИЕ</w:t>
      </w:r>
    </w:p>
    <w:p w:rsidR="004B7801" w:rsidRDefault="004B7801">
      <w:pPr>
        <w:pStyle w:val="ConsPlusTitle"/>
        <w:jc w:val="center"/>
      </w:pPr>
      <w:r>
        <w:t>БЮДЖЕТНОЙ ОБЕСПЕЧЕННОСТИ (ЧАСТИ РАСЧЕТНОГО ОБЪЕМА ДОТАЦИИ),</w:t>
      </w:r>
    </w:p>
    <w:p w:rsidR="004B7801" w:rsidRDefault="004B7801">
      <w:pPr>
        <w:pStyle w:val="ConsPlusTitle"/>
        <w:jc w:val="center"/>
      </w:pPr>
      <w:proofErr w:type="gramStart"/>
      <w:r>
        <w:t>ЗАМЕНЕННОЙ ДОПОЛНИТЕЛЬНЫМИ НОРМАТИВАМИ ОТЧИСЛЕНИЙ, В ТЕЧЕНИЕ</w:t>
      </w:r>
      <w:proofErr w:type="gramEnd"/>
    </w:p>
    <w:p w:rsidR="004B7801" w:rsidRDefault="004B7801">
      <w:pPr>
        <w:pStyle w:val="ConsPlusTitle"/>
        <w:jc w:val="center"/>
      </w:pPr>
      <w:r>
        <w:t>ДВУХ ИЗ ТРЕХ ПОСЛЕДНИХ ОТЧЕТНЫХ ФИНАНСОВЫХ ЛЕТ ПРЕВЫШАЛА</w:t>
      </w:r>
    </w:p>
    <w:p w:rsidR="004B7801" w:rsidRDefault="004B7801">
      <w:pPr>
        <w:pStyle w:val="ConsPlusTitle"/>
        <w:jc w:val="center"/>
      </w:pPr>
      <w:r>
        <w:t>5 ПРОЦЕНТОВ СОБСТВЕННЫХ ДОХОДОВ МЕСТНОГО БЮДЖЕТА</w:t>
      </w:r>
    </w:p>
    <w:p w:rsidR="004B7801" w:rsidRDefault="004B78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78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801" w:rsidRDefault="004B78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801" w:rsidRDefault="004B78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Самарской области</w:t>
            </w:r>
            <w:proofErr w:type="gramEnd"/>
          </w:p>
          <w:p w:rsidR="004B7801" w:rsidRDefault="004B78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10.11.2010 </w:t>
            </w:r>
            <w:hyperlink r:id="rId11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16.10.2014 </w:t>
            </w:r>
            <w:hyperlink r:id="rId12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12.10.2015 </w:t>
            </w:r>
            <w:hyperlink r:id="rId13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7801" w:rsidRDefault="004B7801">
      <w:pPr>
        <w:pStyle w:val="ConsPlusNormal"/>
        <w:jc w:val="both"/>
      </w:pPr>
    </w:p>
    <w:p w:rsidR="004B7801" w:rsidRDefault="004B780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Настоящая Методика устанавливает порядок расчета нормативов формирования расходов на содержание органов местного самоуправления (далее - нормативы расходов) муниципальных районов и городских округов Самарской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</w:t>
      </w:r>
      <w:proofErr w:type="gramEnd"/>
      <w:r>
        <w:t xml:space="preserve"> нормативами отчислений, в течение двух из трех последних отчетных финансовых лет превышала 5 процентов собственных доходов местного бюджета (далее - муниципальные образования).</w:t>
      </w:r>
    </w:p>
    <w:p w:rsidR="004B7801" w:rsidRDefault="004B7801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12.10.2015 N 642)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>2. Норматив расходов определяет предельную (максимальную) долю расходов в расчете на год на содержание органов местного самоуправления соответствующего муниципального образования Самарской области, выраженную в процентах, в общей сумме доходов бюджета соответствующего муниципального образования Самарской области на финансовый год.</w:t>
      </w:r>
    </w:p>
    <w:p w:rsidR="004B7801" w:rsidRDefault="004B7801">
      <w:pPr>
        <w:pStyle w:val="ConsPlusNormal"/>
        <w:spacing w:before="220"/>
        <w:ind w:firstLine="540"/>
        <w:jc w:val="both"/>
      </w:pPr>
      <w:bookmarkStart w:id="1" w:name="P61"/>
      <w:bookmarkEnd w:id="1"/>
      <w:r>
        <w:t>3. Для целей настоящей Методики при определении значения норматива расходов к доходам местных бюджетов относятся следующие виды доходов:</w:t>
      </w:r>
    </w:p>
    <w:p w:rsidR="004B7801" w:rsidRDefault="004B7801">
      <w:pPr>
        <w:pStyle w:val="ConsPlusNormal"/>
        <w:spacing w:before="220"/>
        <w:ind w:firstLine="540"/>
        <w:jc w:val="both"/>
      </w:pPr>
      <w:proofErr w:type="gramStart"/>
      <w:r>
        <w:t>налоговые и неналоговые доходы бюджета соответствующего муниципального образования Самарской области по данным отчетности органов местного самоуправления соответствующего муниципального образования за отчетный финансовый год (год, предшествующий текущему году, в котором осуществляется расчет норматива на очередной финансовый год), распределенные в соответствии с бюджетным законодательством Российской Федерации, действующим в финансовом году, на который устанавливается норматив расходов (без учета налоговых доходов по дополнительным нормативам</w:t>
      </w:r>
      <w:proofErr w:type="gramEnd"/>
      <w:r>
        <w:t xml:space="preserve"> отчислений от налогов взамен дотации на выравнивание бюджетной обеспеченности, фактически поступающих в местный бюджет сверх заменяемого размера дотации);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 xml:space="preserve">дотации на выравнивание бюджетной обеспеченности соответствующего муниципального образования по данным отчетности органов местного самоуправления соответствующего муниципального образования за отчетный финансовый год (год, предшествующий текущему году, </w:t>
      </w:r>
      <w:r>
        <w:lastRenderedPageBreak/>
        <w:t>в котором осуществляется расчет норматива на очередной финансовый год);</w:t>
      </w:r>
    </w:p>
    <w:p w:rsidR="004B7801" w:rsidRDefault="004B7801">
      <w:pPr>
        <w:pStyle w:val="ConsPlusNormal"/>
        <w:spacing w:before="220"/>
        <w:ind w:firstLine="540"/>
        <w:jc w:val="both"/>
      </w:pPr>
      <w:proofErr w:type="gramStart"/>
      <w:r>
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в части субсидий на покрытие недостатка собственных финансовых ресурсов для финансирования расходных обязательств, а также в части компенсации выпадающих средств местных бюджетов (далее - стимулирующие субсидии) в размере плановой суммы субсидии, предусмотренной законом об областном бюджете.</w:t>
      </w:r>
      <w:proofErr w:type="gramEnd"/>
    </w:p>
    <w:p w:rsidR="004B7801" w:rsidRDefault="004B7801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16.10.2014 N 641)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>4. Расчет норматива расходов производится по данным отчетности органов местного самоуправления муниципальных образований за отчетный финансовый год (год, предшествующий текущему году, в котором осуществляется расчет норматива на очередной финансовый год) по формуле</w:t>
      </w:r>
    </w:p>
    <w:p w:rsidR="004B7801" w:rsidRDefault="004B7801">
      <w:pPr>
        <w:pStyle w:val="ConsPlusNormal"/>
        <w:jc w:val="both"/>
      </w:pPr>
    </w:p>
    <w:p w:rsidR="004B7801" w:rsidRDefault="004B7801">
      <w:pPr>
        <w:pStyle w:val="ConsPlusNormal"/>
        <w:jc w:val="center"/>
      </w:pPr>
      <w:r w:rsidRPr="001B5D8D">
        <w:rPr>
          <w:position w:val="-26"/>
        </w:rPr>
        <w:pict>
          <v:shape id="_x0000_i1025" style="width:132.6pt;height:36.9pt" coordsize="" o:spt="100" adj="0,,0" path="" filled="f" stroked="f">
            <v:stroke joinstyle="miter"/>
            <v:imagedata r:id="rId16" o:title="base_23808_74814_32768"/>
            <v:formulas/>
            <v:path o:connecttype="segments"/>
          </v:shape>
        </w:pict>
      </w:r>
    </w:p>
    <w:p w:rsidR="004B7801" w:rsidRDefault="004B7801">
      <w:pPr>
        <w:pStyle w:val="ConsPlusNormal"/>
        <w:jc w:val="both"/>
      </w:pPr>
    </w:p>
    <w:p w:rsidR="004B7801" w:rsidRDefault="004B7801">
      <w:pPr>
        <w:pStyle w:val="ConsPlusNormal"/>
        <w:ind w:firstLine="540"/>
        <w:jc w:val="both"/>
      </w:pPr>
      <w:r>
        <w:t>где H</w:t>
      </w:r>
      <w:r>
        <w:rPr>
          <w:vertAlign w:val="subscript"/>
        </w:rPr>
        <w:t>i</w:t>
      </w:r>
      <w:r>
        <w:t xml:space="preserve"> - норматив расходов i-го муниципального образования;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>Р - размер расходов на содержание органов местного самоуправления муниципального образования в расчете на одного жителя, рассчитываемый как среднее значение расходов на содержание органов местного самоуправления пяти муниципальных районов (двух городских округов) в расчете на одного жителя, имеющих наименьшее среди соответствующей группы муниципальных образований (городских округов, муниципальных районов) значение общего размера расходов на содержание органов местного самоуправления муниципальных образований за отчетный финансовый год;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1</w:t>
      </w:r>
      <w:r>
        <w:t xml:space="preserve"> - коэффициент масштаба;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2</w:t>
      </w:r>
      <w:r>
        <w:t xml:space="preserve"> - стимулирующий коэффициент;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i</w:t>
      </w:r>
      <w:r>
        <w:t xml:space="preserve"> - численность постоянного населения i-го муниципального образования по состоянию на конец отчетного финансового года;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i</w:t>
      </w:r>
      <w:r>
        <w:t xml:space="preserve"> - общая сумма доходов, определяемая в соответствии с </w:t>
      </w:r>
      <w:hyperlink w:anchor="P61" w:history="1">
        <w:r>
          <w:rPr>
            <w:color w:val="0000FF"/>
          </w:rPr>
          <w:t>пунктом 3</w:t>
        </w:r>
      </w:hyperlink>
      <w:r>
        <w:t xml:space="preserve"> настоящей Методики на основании отчетных данных об исполнении соответствующего местного бюджета за отчетный финансовый год.</w:t>
      </w:r>
    </w:p>
    <w:p w:rsidR="004B7801" w:rsidRDefault="004B7801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16.10.2014 N 641)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>5. Коэффициент масштаба k</w:t>
      </w:r>
      <w:r>
        <w:rPr>
          <w:vertAlign w:val="subscript"/>
        </w:rPr>
        <w:t>1</w:t>
      </w:r>
      <w:r>
        <w:t xml:space="preserve"> рассчитывается по следующей формуле:</w:t>
      </w:r>
    </w:p>
    <w:p w:rsidR="004B7801" w:rsidRDefault="004B7801">
      <w:pPr>
        <w:pStyle w:val="ConsPlusNormal"/>
        <w:jc w:val="both"/>
      </w:pPr>
    </w:p>
    <w:p w:rsidR="004B7801" w:rsidRDefault="004B7801">
      <w:pPr>
        <w:pStyle w:val="ConsPlusNormal"/>
        <w:jc w:val="center"/>
      </w:pPr>
      <w:r w:rsidRPr="001B5D8D">
        <w:rPr>
          <w:position w:val="-26"/>
        </w:rPr>
        <w:pict>
          <v:shape id="_x0000_i1026" style="width:136.1pt;height:36.9pt" coordsize="" o:spt="100" adj="0,,0" path="" filled="f" stroked="f">
            <v:stroke joinstyle="miter"/>
            <v:imagedata r:id="rId18" o:title="base_23808_74814_32769"/>
            <v:formulas/>
            <v:path o:connecttype="segments"/>
          </v:shape>
        </w:pict>
      </w:r>
    </w:p>
    <w:p w:rsidR="004B7801" w:rsidRDefault="004B7801">
      <w:pPr>
        <w:pStyle w:val="ConsPlusNormal"/>
        <w:jc w:val="both"/>
      </w:pPr>
    </w:p>
    <w:p w:rsidR="004B7801" w:rsidRDefault="004B7801">
      <w:pPr>
        <w:pStyle w:val="ConsPlusNormal"/>
        <w:ind w:firstLine="540"/>
        <w:jc w:val="both"/>
      </w:pPr>
      <w:r>
        <w:t>где Ч</w:t>
      </w:r>
      <w:r>
        <w:rPr>
          <w:vertAlign w:val="subscript"/>
        </w:rPr>
        <w:t>min</w:t>
      </w:r>
      <w:r>
        <w:t xml:space="preserve"> - численность постоянного населения на конец отчетного финансового года муниципального образования, имеющего наименьший в абсолютном выражении (по данным об исполнении бюджета за отчетный финансовый год) общий размер расходов на содержание органов местного самоуправления среди соответствующей группы муниципальных образований (городских округов, муниципальных районов);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max</w:t>
      </w:r>
      <w:r>
        <w:t xml:space="preserve"> - максимальная численность постоянного населения муниципального образования на конец последнего отчетного финансового года среди соответствующей группы муниципальных образований (городских округов, муниципальных районов).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lastRenderedPageBreak/>
        <w:t>6. Стимулирующий коэффициент k</w:t>
      </w:r>
      <w:r>
        <w:rPr>
          <w:vertAlign w:val="subscript"/>
        </w:rPr>
        <w:t>2</w:t>
      </w:r>
      <w:r>
        <w:t xml:space="preserve"> определяется по следующей формуле:</w:t>
      </w:r>
    </w:p>
    <w:p w:rsidR="004B7801" w:rsidRDefault="004B7801">
      <w:pPr>
        <w:pStyle w:val="ConsPlusNormal"/>
        <w:jc w:val="both"/>
      </w:pPr>
    </w:p>
    <w:p w:rsidR="004B7801" w:rsidRDefault="004B7801">
      <w:pPr>
        <w:pStyle w:val="ConsPlusNormal"/>
        <w:jc w:val="center"/>
      </w:pPr>
      <w:r>
        <w:t>k</w:t>
      </w:r>
      <w:r>
        <w:rPr>
          <w:vertAlign w:val="subscript"/>
        </w:rPr>
        <w:t>2</w:t>
      </w:r>
      <w:r>
        <w:t xml:space="preserve"> = B</w:t>
      </w:r>
      <w:r>
        <w:rPr>
          <w:vertAlign w:val="subscript"/>
        </w:rPr>
        <w:t>i</w:t>
      </w:r>
      <w:r>
        <w:t xml:space="preserve"> / B</w:t>
      </w:r>
      <w:r>
        <w:rPr>
          <w:vertAlign w:val="subscript"/>
        </w:rPr>
        <w:t>ср</w:t>
      </w:r>
      <w:r>
        <w:t>,</w:t>
      </w:r>
    </w:p>
    <w:p w:rsidR="004B7801" w:rsidRDefault="004B7801">
      <w:pPr>
        <w:pStyle w:val="ConsPlusNormal"/>
        <w:jc w:val="both"/>
      </w:pPr>
    </w:p>
    <w:p w:rsidR="004B7801" w:rsidRDefault="004B7801">
      <w:pPr>
        <w:pStyle w:val="ConsPlusNormal"/>
        <w:ind w:firstLine="540"/>
        <w:jc w:val="both"/>
      </w:pPr>
      <w:r>
        <w:t>где B</w:t>
      </w:r>
      <w:r>
        <w:rPr>
          <w:vertAlign w:val="subscript"/>
        </w:rPr>
        <w:t>i</w:t>
      </w:r>
      <w:r>
        <w:t xml:space="preserve"> - бюджетная обеспеченность доходами в расчете на одного жителя i-го муниципального образования (муниципального района, городского округа), рассчитанная по итогам исполнения бюджета за отчетный финансовый год, уровень которой выше среднего среди соответствующей группы муниципальных образований (городских округов, муниципальных районов);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ср</w:t>
      </w:r>
      <w:r>
        <w:t xml:space="preserve"> - средняя бюджетная обеспеченность в соответствующей группе муниципальных образований (городских округах, муниципальных районах) в отчетном финансовом году.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 xml:space="preserve">7. Контроль за соблюдением норматива расходов в течение финансового года осуществляется с использованием перечня доходов, указанных в </w:t>
      </w:r>
      <w:hyperlink w:anchor="P61" w:history="1">
        <w:r>
          <w:rPr>
            <w:color w:val="0000FF"/>
          </w:rPr>
          <w:t>пункте 3</w:t>
        </w:r>
      </w:hyperlink>
      <w:r>
        <w:t xml:space="preserve"> настоящей Методики, в размере, предусмотренном решениями о местных бюджетах на финансовый год, для которого определялось значение норматива, за исключением стимулирующих субсидий, объем которых определяется в размере соответствующей доли плановой суммы субсидии, предусмотренной законом об областном бюджете.</w:t>
      </w:r>
    </w:p>
    <w:p w:rsidR="004B7801" w:rsidRDefault="004B7801">
      <w:pPr>
        <w:pStyle w:val="ConsPlusNormal"/>
        <w:spacing w:before="220"/>
        <w:ind w:firstLine="540"/>
        <w:jc w:val="both"/>
      </w:pPr>
      <w:r>
        <w:t xml:space="preserve">Контроль за соблюдением норматива расходов по итогам отчетного финансового года осуществляется с использованием доходов, указанных в </w:t>
      </w:r>
      <w:hyperlink w:anchor="P61" w:history="1">
        <w:r>
          <w:rPr>
            <w:color w:val="0000FF"/>
          </w:rPr>
          <w:t>пункте 3</w:t>
        </w:r>
      </w:hyperlink>
      <w:r>
        <w:t xml:space="preserve"> настоящей Методики, в размере фактически поступивших в отчетном финансовом году, за исключением стимулирующих субсидий, объем которых определяется в размере соответствующей доли перечисленной суммы в отчетном финансовом году.</w:t>
      </w:r>
    </w:p>
    <w:p w:rsidR="004B7801" w:rsidRDefault="004B7801">
      <w:pPr>
        <w:pStyle w:val="ConsPlusNormal"/>
        <w:jc w:val="both"/>
      </w:pPr>
      <w:r>
        <w:t xml:space="preserve">(п. 7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16.10.2014 N 641)</w:t>
      </w:r>
    </w:p>
    <w:p w:rsidR="004B7801" w:rsidRDefault="004B7801">
      <w:pPr>
        <w:pStyle w:val="ConsPlusNormal"/>
        <w:jc w:val="both"/>
      </w:pPr>
    </w:p>
    <w:p w:rsidR="004B7801" w:rsidRDefault="004B7801">
      <w:pPr>
        <w:pStyle w:val="ConsPlusNormal"/>
        <w:jc w:val="both"/>
      </w:pPr>
    </w:p>
    <w:p w:rsidR="004B7801" w:rsidRDefault="004B7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FCA" w:rsidRDefault="00075FCA"/>
    <w:sectPr w:rsidR="00075FCA" w:rsidSect="0095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grammar="clean"/>
  <w:defaultTabStop w:val="708"/>
  <w:characterSpacingControl w:val="doNotCompress"/>
  <w:compat/>
  <w:rsids>
    <w:rsidRoot w:val="004B7801"/>
    <w:rsid w:val="00075FCA"/>
    <w:rsid w:val="004B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23054CC2DA3085B422EFCE0AF8FA127F125ABB5F4F0AC2BDA516523222EEB8A4A63F28AB9D7FF0E1DA85ECFF8E137C1CCF710A41ANFKCK" TargetMode="External"/><Relationship Id="rId13" Type="http://schemas.openxmlformats.org/officeDocument/2006/relationships/hyperlink" Target="consultantplus://offline/ref=48D23054CC2DA3085B4230F1F6C3D3A922F879A3BBF0FAFF73850A38742B24BCCD053AB2CEB2D7F45A4CED0BC9AEB96D94C5EB1BBA1BF1E81CB995N8K4K" TargetMode="External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8D23054CC2DA3085B4230F1F6C3D3A922F879A3BBF0FAFF73850A38742B24BCCD053AB2CEB2D7F45A4CEC0EC9AEB96D94C5EB1BBA1BF1E81CB995N8K4K" TargetMode="External"/><Relationship Id="rId12" Type="http://schemas.openxmlformats.org/officeDocument/2006/relationships/hyperlink" Target="consultantplus://offline/ref=48D23054CC2DA3085B4230F1F6C3D3A922F879A3BAF7F8FC77850A38742B24BCCD053AB2CEB2D7F45A4CEC0CC9AEB96D94C5EB1BBA1BF1E81CB995N8K4K" TargetMode="External"/><Relationship Id="rId17" Type="http://schemas.openxmlformats.org/officeDocument/2006/relationships/hyperlink" Target="consultantplus://offline/ref=48D23054CC2DA3085B4230F1F6C3D3A922F879A3BAF7F8FC77850A38742B24BCCD053AB2CEB2D7F45A4CED08C9AEB96D94C5EB1BBA1BF1E81CB995N8K4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23054CC2DA3085B4230F1F6C3D3A922F879A3BAF7F8FC77850A38742B24BCCD053AB2CEB2D7F45A4CEC0EC9AEB96D94C5EB1BBA1BF1E81CB995N8K4K" TargetMode="External"/><Relationship Id="rId11" Type="http://schemas.openxmlformats.org/officeDocument/2006/relationships/hyperlink" Target="consultantplus://offline/ref=48D23054CC2DA3085B4230F1F6C3D3A922F879A3BFF5F9F37E850A38742B24BCCD053AB2CEB2D7F45A4CEC0DC9AEB96D94C5EB1BBA1BF1E81CB995N8K4K" TargetMode="External"/><Relationship Id="rId5" Type="http://schemas.openxmlformats.org/officeDocument/2006/relationships/hyperlink" Target="consultantplus://offline/ref=48D23054CC2DA3085B4230F1F6C3D3A922F879A3BFF5F9F37E850A38742B24BCCD053AB2CEB2D7F45A4CEC0EC9AEB96D94C5EB1BBA1BF1E81CB995N8K4K" TargetMode="External"/><Relationship Id="rId15" Type="http://schemas.openxmlformats.org/officeDocument/2006/relationships/hyperlink" Target="consultantplus://offline/ref=48D23054CC2DA3085B4230F1F6C3D3A922F879A3BAF7F8FC77850A38742B24BCCD053AB2CEB2D7F45A4CEC03C9AEB96D94C5EB1BBA1BF1E81CB995N8K4K" TargetMode="External"/><Relationship Id="rId10" Type="http://schemas.openxmlformats.org/officeDocument/2006/relationships/hyperlink" Target="consultantplus://offline/ref=48D23054CC2DA3085B4230F1F6C3D3A922F879A3BAF7F8FC77850A38742B24BCCD053AB2CEB2D7F45A4CEC0DC9AEB96D94C5EB1BBA1BF1E81CB995N8K4K" TargetMode="External"/><Relationship Id="rId19" Type="http://schemas.openxmlformats.org/officeDocument/2006/relationships/hyperlink" Target="consultantplus://offline/ref=48D23054CC2DA3085B4230F1F6C3D3A922F879A3BAF7F8FC77850A38742B24BCCD053AB2CEB2D7F45A4CEE0AC9AEB96D94C5EB1BBA1BF1E81CB995N8K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D23054CC2DA3085B4230F1F6C3D3A922F879A3BBF0FAFF73850A38742B24BCCD053AB2CEB2D7F45A4CEC03C9AEB96D94C5EB1BBA1BF1E81CB995N8K4K" TargetMode="External"/><Relationship Id="rId14" Type="http://schemas.openxmlformats.org/officeDocument/2006/relationships/hyperlink" Target="consultantplus://offline/ref=48D23054CC2DA3085B4230F1F6C3D3A922F879A3BBF0FAFF73850A38742B24BCCD053AB2CEB2D7F45A4CED08C9AEB96D94C5EB1BBA1BF1E81CB995N8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9895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2019-04-29T10:10:00Z</dcterms:created>
  <dcterms:modified xsi:type="dcterms:W3CDTF">2019-04-29T10:10:00Z</dcterms:modified>
</cp:coreProperties>
</file>