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0C" w:rsidRDefault="00361E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1E0C" w:rsidRDefault="00361E0C">
      <w:pPr>
        <w:pStyle w:val="ConsPlusNormal"/>
        <w:jc w:val="both"/>
        <w:outlineLvl w:val="0"/>
      </w:pPr>
    </w:p>
    <w:p w:rsidR="00361E0C" w:rsidRDefault="00361E0C">
      <w:pPr>
        <w:pStyle w:val="ConsPlusTitle"/>
        <w:jc w:val="center"/>
        <w:outlineLvl w:val="0"/>
      </w:pPr>
      <w:r>
        <w:t>ПРАВИТЕЛЬСТВО САМАРСКОЙ ОБЛАСТИ</w:t>
      </w:r>
    </w:p>
    <w:p w:rsidR="00361E0C" w:rsidRDefault="00361E0C">
      <w:pPr>
        <w:pStyle w:val="ConsPlusTitle"/>
        <w:jc w:val="both"/>
      </w:pPr>
    </w:p>
    <w:p w:rsidR="00361E0C" w:rsidRDefault="00361E0C">
      <w:pPr>
        <w:pStyle w:val="ConsPlusTitle"/>
        <w:jc w:val="center"/>
      </w:pPr>
      <w:r>
        <w:t>ПОСТАНОВЛЕНИЕ</w:t>
      </w:r>
    </w:p>
    <w:p w:rsidR="00361E0C" w:rsidRDefault="00361E0C">
      <w:pPr>
        <w:pStyle w:val="ConsPlusTitle"/>
        <w:jc w:val="center"/>
      </w:pPr>
      <w:r>
        <w:t>от 29 декабря 2021 г. N 1116</w:t>
      </w:r>
    </w:p>
    <w:p w:rsidR="00361E0C" w:rsidRDefault="00361E0C">
      <w:pPr>
        <w:pStyle w:val="ConsPlusTitle"/>
        <w:jc w:val="both"/>
      </w:pPr>
    </w:p>
    <w:p w:rsidR="00361E0C" w:rsidRDefault="00361E0C">
      <w:pPr>
        <w:pStyle w:val="ConsPlusTitle"/>
        <w:jc w:val="center"/>
      </w:pPr>
      <w:r>
        <w:t>ОБ УТВЕРЖДЕНИИ ПОРЯДКА ОСУЩЕСТВЛЕНИЯ КАЗНАЧЕЙСКОГО</w:t>
      </w:r>
    </w:p>
    <w:p w:rsidR="00361E0C" w:rsidRDefault="00361E0C">
      <w:pPr>
        <w:pStyle w:val="ConsPlusTitle"/>
        <w:jc w:val="center"/>
      </w:pPr>
      <w:r>
        <w:t>СОПРОВОЖДЕНИЯ СРЕДСТВ ОБЛАСТНОГО БЮДЖЕТА</w:t>
      </w: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242.23</w:t>
        </w:r>
      </w:hyperlink>
      <w:r>
        <w:t xml:space="preserve"> Бюджетного кодекса Российской Федерации,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N 2155, Правительство Самарской области постановляет: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осуществления казначейского сопровождения средств областного бюджета.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управления финансами Самарской области.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jc w:val="right"/>
      </w:pPr>
      <w:r>
        <w:t>Первый вице-губернатор - председатель</w:t>
      </w:r>
    </w:p>
    <w:p w:rsidR="00361E0C" w:rsidRDefault="00361E0C">
      <w:pPr>
        <w:pStyle w:val="ConsPlusNormal"/>
        <w:jc w:val="right"/>
      </w:pPr>
      <w:r>
        <w:t>Правительства Самарской области</w:t>
      </w:r>
    </w:p>
    <w:p w:rsidR="00361E0C" w:rsidRDefault="00361E0C">
      <w:pPr>
        <w:pStyle w:val="ConsPlusNormal"/>
        <w:jc w:val="right"/>
      </w:pPr>
      <w:r>
        <w:t>В.В.КУДРЯШОВ</w:t>
      </w: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jc w:val="right"/>
        <w:outlineLvl w:val="0"/>
      </w:pPr>
      <w:r>
        <w:t>Утвержден</w:t>
      </w:r>
    </w:p>
    <w:p w:rsidR="00361E0C" w:rsidRDefault="00361E0C">
      <w:pPr>
        <w:pStyle w:val="ConsPlusNormal"/>
        <w:jc w:val="right"/>
      </w:pPr>
      <w:r>
        <w:t>Постановлением</w:t>
      </w:r>
    </w:p>
    <w:p w:rsidR="00361E0C" w:rsidRDefault="00361E0C">
      <w:pPr>
        <w:pStyle w:val="ConsPlusNormal"/>
        <w:jc w:val="right"/>
      </w:pPr>
      <w:r>
        <w:t>Правительства Самарской области</w:t>
      </w:r>
    </w:p>
    <w:p w:rsidR="00361E0C" w:rsidRDefault="00361E0C">
      <w:pPr>
        <w:pStyle w:val="ConsPlusNormal"/>
        <w:jc w:val="right"/>
      </w:pPr>
      <w:r>
        <w:t>от 29 декабря 2021 г. N 1116</w:t>
      </w: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Title"/>
        <w:jc w:val="center"/>
      </w:pPr>
      <w:bookmarkStart w:id="0" w:name="P28"/>
      <w:bookmarkEnd w:id="0"/>
      <w:r>
        <w:t>ПОРЯДОК</w:t>
      </w:r>
    </w:p>
    <w:p w:rsidR="00361E0C" w:rsidRDefault="00361E0C">
      <w:pPr>
        <w:pStyle w:val="ConsPlusTitle"/>
        <w:jc w:val="center"/>
      </w:pPr>
      <w:r>
        <w:t>ОСУЩЕСТВЛЕНИЯ КАЗНАЧЕЙСКОГО СОПРОВОЖДЕНИЯ</w:t>
      </w:r>
    </w:p>
    <w:p w:rsidR="00361E0C" w:rsidRDefault="00361E0C">
      <w:pPr>
        <w:pStyle w:val="ConsPlusTitle"/>
        <w:jc w:val="center"/>
      </w:pPr>
      <w:r>
        <w:t>СРЕДСТВ ОБЛАСТНОГО БЮДЖЕТА</w:t>
      </w: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ind w:firstLine="540"/>
        <w:jc w:val="both"/>
      </w:pPr>
      <w:r>
        <w:t>1. Настоящим Порядком устанавливаются правила осуществления министерством управления финансами Самарской области (далее - министерство) казначейского сопровождения средств областного бюджета, получаемых юридическими лицами, индивидуальными предпринимателями, физическими лицами - производителями товаров, работ, услуг, подлежащих казначейскому сопровождению (далее - участник казначейского сопровождения) в случаях, определенных законом Самарской области об областном бюджете на текущий финансовый год и на плановый период (далее - целевые средства).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Целевые средства предоставляются на основании государственных контрактов о поставке товаров, выполнении работ, оказании услуг (далее - государственный контракт), договоров (соглашений) о предоставлении субсидий, договоров о предоставлении бюджетных инвестиций в </w:t>
      </w:r>
      <w:r>
        <w:lastRenderedPageBreak/>
        <w:t xml:space="preserve">соответствии со </w:t>
      </w:r>
      <w:hyperlink r:id="rId7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договоров, соглашений (далее - контракт (договор), содержащих положения, указанные в </w:t>
      </w:r>
      <w:hyperlink w:anchor="P43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Положения настоящего Порядка, установленные для юридических лиц, являющихся участниками казначейского сопровождения, распространяются на их обособленные (структурные) подразделения и крестьянские (фермерские) хозяйства.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2.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сопровождения, открытых министерству в Управлении Федерального казначейства по Самарской области.</w:t>
      </w:r>
    </w:p>
    <w:p w:rsidR="00361E0C" w:rsidRDefault="00361E0C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3. Операции с целевыми средствами участника казначейского сопровождения отражаются на лицевом счете участника казначейского сопровождения, определенном </w:t>
      </w:r>
      <w:hyperlink r:id="rId8" w:history="1">
        <w:r>
          <w:rPr>
            <w:color w:val="0000FF"/>
          </w:rPr>
          <w:t>пунктом 7.1 статьи 220.1</w:t>
        </w:r>
      </w:hyperlink>
      <w:r>
        <w:t xml:space="preserve"> Бюджетного кодекса Российской Федерации, в разрезе каждого государственного контракта, договора (соглашения), контракта (договора).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4. При казначейском сопровождении целевых средств министерство осуществляет санкционирование операций с целевыми средствами в установленном им порядке (далее - порядок санкционирования целевых средств).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5. Операции по списанию средств, отраженных на лицевых счетах,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Порядка, осуществляются в пределах суммы, необходимой для оплаты обязательств по расходам участников казначейского сопровождения, источником финансового обеспечения которых являются целевые средства, после представления в министерство документов, установленных порядком санкционирования целевых средств, подтверждающих возникновение соответствующих денежных обязательств (далее - документы-основания).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6. 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министерство сведениями об операциях с целевыми средствами, сформированными в соответствии с положениями порядка санкционирования целевых средств и утверждаемыми на срок действия государственного контракта, договора (соглашения), контракта (договора).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7. Участник казначейского сопровождения обязан соблюдать условия ведения и использования лицевого счета (режима лицевого счета), указанные в </w:t>
      </w:r>
      <w:hyperlink r:id="rId9" w:history="1">
        <w:r>
          <w:rPr>
            <w:color w:val="0000FF"/>
          </w:rPr>
          <w:t>пункте 3 статьи 242.23</w:t>
        </w:r>
      </w:hyperlink>
      <w:r>
        <w:t xml:space="preserve"> Бюджетного кодекса Российской Федерации.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8. Бюджетный мониторинг при открытии лицевых счетов в министерстве и осуществлении операций на указанных лицевых счетах проводится в соответствии со </w:t>
      </w:r>
      <w:hyperlink r:id="rId10" w:history="1">
        <w:r>
          <w:rPr>
            <w:color w:val="0000FF"/>
          </w:rPr>
          <w:t>статьей 242.13-1</w:t>
        </w:r>
      </w:hyperlink>
      <w:r>
        <w:t xml:space="preserve"> Бюджетного кодекса Российской Федерации в порядке, установленном Правительством Российской Федерации.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9. Министерство ежедневно (в рабочие дни) предоставляет информацию о государственных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361E0C" w:rsidRDefault="00361E0C">
      <w:pPr>
        <w:pStyle w:val="ConsPlusNormal"/>
        <w:spacing w:before="220"/>
        <w:ind w:firstLine="540"/>
        <w:jc w:val="both"/>
      </w:pPr>
      <w:bookmarkStart w:id="2" w:name="P43"/>
      <w:bookmarkEnd w:id="2"/>
      <w:r>
        <w:lastRenderedPageBreak/>
        <w:t>10. При казначейском сопровождении целевых средств в государственные контракты, договоры (соглашения), контракты (договоры) включаются следующие условия: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об открытии участнику казначейского сопровождения лицевого счета в министерстве в порядке, установленном министерством;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о представлении в министерство документов, установленных порядком санкционирования целевых средств;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об указании в контрактах (договорах), распоряжениях о совершении казначейских платежей, а также в документах-основаниях идентификатора государственного контракта, договора (соглашения), сформированного в порядке, установленном Министерством финансов Российской Федерации;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о ведении раздельного учета результатов финансово-хозяйственной деятельности по каждому государственному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о формировании в установленных Правительством Российской Федерации случаях информации о структуре цены государственного контракта, контракта (договора), суммы средств, предусмотренной договором (соглашением), в порядке и по форме, которые установлены Министерством финансов Российской Федерации;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о соблюдении участником казначейского сопровождения условий ведения и использования лицевого счета (режима лицевого счета), указанных в </w:t>
      </w:r>
      <w:hyperlink r:id="rId11" w:history="1">
        <w:r>
          <w:rPr>
            <w:color w:val="0000FF"/>
          </w:rPr>
          <w:t>пункте 3 статьи 242.23</w:t>
        </w:r>
      </w:hyperlink>
      <w:r>
        <w:t xml:space="preserve"> Бюджетного кодекса Российской Федерации;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о соблюдении в установленных Правительством Российской Федерации случаях положений, предусмотренных </w:t>
      </w:r>
      <w:hyperlink r:id="rId12" w:history="1">
        <w:r>
          <w:rPr>
            <w:color w:val="0000FF"/>
          </w:rPr>
          <w:t>статьей 242.24</w:t>
        </w:r>
      </w:hyperlink>
      <w:r>
        <w:t xml:space="preserve"> Бюджетного кодекса Российской Федерации;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о ведении и использовании лицевого счета участника казначейского сопровождения в соответствии с </w:t>
      </w:r>
      <w:hyperlink r:id="rId13" w:history="1">
        <w:r>
          <w:rPr>
            <w:color w:val="0000FF"/>
          </w:rPr>
          <w:t>пунктом 5</w:t>
        </w:r>
      </w:hyperlink>
      <w:r>
        <w:t xml:space="preserve"> Правил расширенного казначейского сопровождения, утвержденных постановлением Правительства Российской Федерации от 24.11.2021 N 2024 (в случае осуществления расширенного казначейского сопровождения);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об информировании министерства о привлечении соисполнителя при исполнении государственного контракта, контракта (договора);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о проведении Управлением Федерального казначейства по Самарской области в порядке, установленном Правительством Российской Федерации в соответствии со </w:t>
      </w:r>
      <w:hyperlink r:id="rId14" w:history="1">
        <w:r>
          <w:rPr>
            <w:color w:val="0000FF"/>
          </w:rPr>
          <w:t>статьей 242.13-1</w:t>
        </w:r>
      </w:hyperlink>
      <w:r>
        <w:t xml:space="preserve"> Бюджетного кодекса Российской Федерации, бюджетного мониторинга при открытии лицевых счетов и осуществлении операций на указанных лицевых счетах;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>иные условия, определенные нормативными правовыми актами Российской Федерации и Самарской области.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11. В случае если федеральными законами или решениями Правительства Российской Федерации, предусмотренными </w:t>
      </w:r>
      <w:hyperlink r:id="rId15" w:history="1">
        <w:r>
          <w:rPr>
            <w:color w:val="0000FF"/>
          </w:rPr>
          <w:t>подпунктом 2 пункта 1 статьи 242.26</w:t>
        </w:r>
      </w:hyperlink>
      <w: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то положения настоящего Порядка, касающиеся договоров (соглашений), распространяются в отношении указанных соглашений.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12. Взаимодействие при осуществлении операций с целевыми средствами, а также при обмене документами между министерством, получателем средств областного бюджета, которому доведены лимиты бюджетных обязательств на предоставление целевых средств, и участниками </w:t>
      </w:r>
      <w:r>
        <w:lastRenderedPageBreak/>
        <w:t>казначейского сопровождения осуществляется с учетом соблюдения порядка санкционирования целевых средств и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361E0C" w:rsidRDefault="00361E0C">
      <w:pPr>
        <w:pStyle w:val="ConsPlusNormal"/>
        <w:spacing w:before="220"/>
        <w:ind w:firstLine="540"/>
        <w:jc w:val="both"/>
      </w:pPr>
      <w:r>
        <w:t xml:space="preserve">13. В случаях и порядке, установленных Правительством Российской Федерации, министерство вправе осуществлять расширенное казначейское сопровождение в соответствии с </w:t>
      </w:r>
      <w:hyperlink r:id="rId16" w:history="1">
        <w:r>
          <w:rPr>
            <w:color w:val="0000FF"/>
          </w:rPr>
          <w:t>пунктом 3 статьи 242.24</w:t>
        </w:r>
      </w:hyperlink>
      <w:r>
        <w:t xml:space="preserve"> Бюджетного кодекса Российской Федерации.</w:t>
      </w: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jc w:val="both"/>
      </w:pPr>
    </w:p>
    <w:p w:rsidR="00361E0C" w:rsidRDefault="00361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1D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E0C"/>
    <w:rsid w:val="00361E0C"/>
    <w:rsid w:val="007A2A4C"/>
    <w:rsid w:val="00B1109F"/>
    <w:rsid w:val="00C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D1909C4E0038AE50C6255EC9BD23F76484C3C9DC2A0E42806A424C980F5E0A37ACB97E1F5DF884C6B8CF40A174E28FDFE961DE6A0J5O2H" TargetMode="External"/><Relationship Id="rId13" Type="http://schemas.openxmlformats.org/officeDocument/2006/relationships/hyperlink" Target="consultantplus://offline/ref=ED9D1909C4E0038AE50C6255EC9BD23F76484C329BC0A0E42806A424C980F5E0A37ACB90E7F1DE841E319CF043424436FAE4881BF8A0509BJ6O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9D1909C4E0038AE50C6255EC9BD23F76484C3C9DC2A0E42806A424C980F5E0A37ACB90E7F2DF871A319CF043424436FAE4881BF8A0509BJ6O0H" TargetMode="External"/><Relationship Id="rId12" Type="http://schemas.openxmlformats.org/officeDocument/2006/relationships/hyperlink" Target="consultantplus://offline/ref=ED9D1909C4E0038AE50C6255EC9BD23F76484C3C9DC2A0E42806A424C980F5E0A37ACB97E0F7DA884C6B8CF40A174E28FDFE961DE6A0J5O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D1909C4E0038AE50C6255EC9BD23F76484C3C9DC2A0E42806A424C980F5E0A37ACB97E0F6DF884C6B8CF40A174E28FDFE961DE6A0J5O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6255EC9BD23F76494C3D9EC0A0E42806A424C980F5E0A37ACB90E7F1DE8219319CF043424436FAE4881BF8A0509BJ6O0H" TargetMode="External"/><Relationship Id="rId11" Type="http://schemas.openxmlformats.org/officeDocument/2006/relationships/hyperlink" Target="consultantplus://offline/ref=ED9D1909C4E0038AE50C6255EC9BD23F76484C3C9DC2A0E42806A424C980F5E0A37ACB97E0F4DF884C6B8CF40A174E28FDFE961DE6A0J5O2H" TargetMode="External"/><Relationship Id="rId5" Type="http://schemas.openxmlformats.org/officeDocument/2006/relationships/hyperlink" Target="consultantplus://offline/ref=ED9D1909C4E0038AE50C6255EC9BD23F76484C3C9DC2A0E42806A424C980F5E0A37ACB97EEF1D6884C6B8CF40A174E28FDFE961DE6A0J5O2H" TargetMode="External"/><Relationship Id="rId15" Type="http://schemas.openxmlformats.org/officeDocument/2006/relationships/hyperlink" Target="consultantplus://offline/ref=ED9D1909C4E0038AE50C6255EC9BD23F76484C3C9DC2A0E42806A424C980F5E0A37ACB97E0F6D7884C6B8CF40A174E28FDFE961DE6A0J5O2H" TargetMode="External"/><Relationship Id="rId10" Type="http://schemas.openxmlformats.org/officeDocument/2006/relationships/hyperlink" Target="consultantplus://offline/ref=ED9D1909C4E0038AE50C6255EC9BD23F76484C3C9DC2A0E42806A424C980F5E0A37ACB97E1F6D6884C6B8CF40A174E28FDFE961DE6A0J5O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9D1909C4E0038AE50C6255EC9BD23F76484C3C9DC2A0E42806A424C980F5E0A37ACB97E0F4DF884C6B8CF40A174E28FDFE961DE6A0J5O2H" TargetMode="External"/><Relationship Id="rId14" Type="http://schemas.openxmlformats.org/officeDocument/2006/relationships/hyperlink" Target="consultantplus://offline/ref=ED9D1909C4E0038AE50C6255EC9BD23F76484C3C9DC2A0E42806A424C980F5E0A37ACB97E1F6D6884C6B8CF40A174E28FDFE961DE6A0J5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9582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2022-04-07T07:14:00Z</dcterms:created>
  <dcterms:modified xsi:type="dcterms:W3CDTF">2022-04-07T07:14:00Z</dcterms:modified>
</cp:coreProperties>
</file>