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FA" w:rsidRDefault="00BA1AFA">
      <w:pPr>
        <w:pStyle w:val="ConsPlusTitlePage"/>
      </w:pPr>
      <w:r>
        <w:t xml:space="preserve">Документ предоставлен </w:t>
      </w:r>
      <w:hyperlink r:id="rId4" w:history="1">
        <w:r>
          <w:rPr>
            <w:color w:val="0000FF"/>
          </w:rPr>
          <w:t>КонсультантПлюс</w:t>
        </w:r>
      </w:hyperlink>
      <w:r>
        <w:br/>
      </w:r>
    </w:p>
    <w:p w:rsidR="00BA1AFA" w:rsidRDefault="00BA1AFA">
      <w:pPr>
        <w:pStyle w:val="ConsPlusNormal"/>
        <w:jc w:val="both"/>
        <w:outlineLvl w:val="0"/>
      </w:pPr>
    </w:p>
    <w:p w:rsidR="00BA1AFA" w:rsidRDefault="00BA1AFA">
      <w:pPr>
        <w:pStyle w:val="ConsPlusTitle"/>
        <w:jc w:val="center"/>
        <w:outlineLvl w:val="0"/>
      </w:pPr>
      <w:r>
        <w:t>ПРАВИТЕЛЬСТВО САМАРСКОЙ ОБЛАСТИ</w:t>
      </w:r>
    </w:p>
    <w:p w:rsidR="00BA1AFA" w:rsidRDefault="00BA1AFA">
      <w:pPr>
        <w:pStyle w:val="ConsPlusTitle"/>
        <w:jc w:val="both"/>
      </w:pPr>
    </w:p>
    <w:p w:rsidR="00BA1AFA" w:rsidRDefault="00BA1AFA">
      <w:pPr>
        <w:pStyle w:val="ConsPlusTitle"/>
        <w:jc w:val="center"/>
      </w:pPr>
      <w:r>
        <w:t>ПОСТАНОВЛЕНИЕ</w:t>
      </w:r>
    </w:p>
    <w:p w:rsidR="00BA1AFA" w:rsidRDefault="00BA1AFA">
      <w:pPr>
        <w:pStyle w:val="ConsPlusTitle"/>
        <w:jc w:val="center"/>
      </w:pPr>
      <w:r>
        <w:t>от 27 апреля 2021 г. N 258</w:t>
      </w:r>
    </w:p>
    <w:p w:rsidR="00BA1AFA" w:rsidRDefault="00BA1AFA">
      <w:pPr>
        <w:pStyle w:val="ConsPlusTitle"/>
        <w:jc w:val="both"/>
      </w:pPr>
    </w:p>
    <w:p w:rsidR="00BA1AFA" w:rsidRDefault="00BA1AFA">
      <w:pPr>
        <w:pStyle w:val="ConsPlusTitle"/>
        <w:jc w:val="center"/>
      </w:pPr>
      <w:r>
        <w:t>О ВНЕСЕНИИ ИЗМЕНЕНИЙ В ПОСТАНОВЛЕНИЕ ПРАВИТЕЛЬСТВА САМАРСКОЙ</w:t>
      </w:r>
    </w:p>
    <w:p w:rsidR="00BA1AFA" w:rsidRDefault="00BA1AFA">
      <w:pPr>
        <w:pStyle w:val="ConsPlusTitle"/>
        <w:jc w:val="center"/>
      </w:pPr>
      <w:r>
        <w:t>ОБЛАСТИ ОТ 14.11.2013 N 623 "ОБ УТВЕРЖДЕНИИ ГОСУДАРСТВЕННОЙ</w:t>
      </w:r>
    </w:p>
    <w:p w:rsidR="00BA1AFA" w:rsidRDefault="00BA1AFA">
      <w:pPr>
        <w:pStyle w:val="ConsPlusTitle"/>
        <w:jc w:val="center"/>
      </w:pPr>
      <w:r>
        <w:t>ПРОГРАММЫ САМАРСКОЙ ОБЛАСТИ "УПРАВЛЕНИЕ ГОСУДАРСТВЕННЫМИ</w:t>
      </w:r>
    </w:p>
    <w:p w:rsidR="00BA1AFA" w:rsidRDefault="00BA1AFA">
      <w:pPr>
        <w:pStyle w:val="ConsPlusTitle"/>
        <w:jc w:val="center"/>
      </w:pPr>
      <w:r>
        <w:t>ФИНАНСАМИ И РАЗВИТИЕ МЕЖБЮДЖЕТНЫХ ОТНОШЕНИЙ"</w:t>
      </w:r>
    </w:p>
    <w:p w:rsidR="00BA1AFA" w:rsidRDefault="00BA1AFA">
      <w:pPr>
        <w:pStyle w:val="ConsPlusTitle"/>
        <w:jc w:val="center"/>
      </w:pPr>
      <w:r>
        <w:t>НА 2014 - 2023 ГОДЫ"</w:t>
      </w:r>
    </w:p>
    <w:p w:rsidR="00BA1AFA" w:rsidRDefault="00BA1AFA">
      <w:pPr>
        <w:pStyle w:val="ConsPlusNormal"/>
        <w:jc w:val="both"/>
      </w:pPr>
    </w:p>
    <w:p w:rsidR="00BA1AFA" w:rsidRDefault="00BA1AFA">
      <w:pPr>
        <w:pStyle w:val="ConsPlusNormal"/>
        <w:ind w:firstLine="540"/>
        <w:jc w:val="both"/>
      </w:pPr>
      <w:r>
        <w:t xml:space="preserve">В целях уточнения объемов финансирования мероприятий государственной </w:t>
      </w:r>
      <w:hyperlink r:id="rId5" w:history="1">
        <w:r>
          <w:rPr>
            <w:color w:val="0000FF"/>
          </w:rPr>
          <w:t>программы</w:t>
        </w:r>
      </w:hyperlink>
      <w:r>
        <w:t xml:space="preserve"> Самарской области "Управление государственными финансами и развитие межбюджетных отношений" на 2014 - 2023 годы, утвержденной постановлением Правительства Самарской области от 14.11.2013 N 623, Правительство Самарской области постановляет:</w:t>
      </w:r>
    </w:p>
    <w:p w:rsidR="00BA1AFA" w:rsidRDefault="00BA1AFA">
      <w:pPr>
        <w:pStyle w:val="ConsPlusNormal"/>
        <w:spacing w:before="220"/>
        <w:ind w:firstLine="540"/>
        <w:jc w:val="both"/>
      </w:pPr>
      <w:r>
        <w:t xml:space="preserve">1. Внести в </w:t>
      </w:r>
      <w:hyperlink r:id="rId6" w:history="1">
        <w:r>
          <w:rPr>
            <w:color w:val="0000FF"/>
          </w:rPr>
          <w:t>постановление</w:t>
        </w:r>
      </w:hyperlink>
      <w:r>
        <w:t xml:space="preserve">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2014 - 2023 годы" следующие изменения:</w:t>
      </w:r>
    </w:p>
    <w:p w:rsidR="00BA1AFA" w:rsidRDefault="00BA1AFA">
      <w:pPr>
        <w:pStyle w:val="ConsPlusNormal"/>
        <w:spacing w:before="220"/>
        <w:ind w:firstLine="540"/>
        <w:jc w:val="both"/>
      </w:pPr>
      <w:r>
        <w:t xml:space="preserve">в государственной </w:t>
      </w:r>
      <w:hyperlink r:id="rId7" w:history="1">
        <w:r>
          <w:rPr>
            <w:color w:val="0000FF"/>
          </w:rPr>
          <w:t>программе</w:t>
        </w:r>
      </w:hyperlink>
      <w:r>
        <w:t xml:space="preserve"> Самарской области "Управление государственными финансами и развитие межбюджетных отношений" на 2014 - 2023 годы (далее - Государственная программа):</w:t>
      </w:r>
    </w:p>
    <w:p w:rsidR="00BA1AFA" w:rsidRDefault="00BA1AFA">
      <w:pPr>
        <w:pStyle w:val="ConsPlusNormal"/>
        <w:spacing w:before="220"/>
        <w:ind w:firstLine="540"/>
        <w:jc w:val="both"/>
      </w:pPr>
      <w:hyperlink r:id="rId8" w:history="1">
        <w:r>
          <w:rPr>
            <w:color w:val="0000FF"/>
          </w:rPr>
          <w:t>раздел</w:t>
        </w:r>
      </w:hyperlink>
      <w:r>
        <w:t xml:space="preserve"> "Объемы бюджетных ассигнований Государственной программы" паспорта Государственной программы изложить в следующей редакции:</w:t>
      </w:r>
    </w:p>
    <w:p w:rsidR="00BA1AFA" w:rsidRDefault="00BA1AFA">
      <w:pPr>
        <w:pStyle w:val="ConsPlusNormal"/>
        <w:jc w:val="both"/>
      </w:pPr>
    </w:p>
    <w:tbl>
      <w:tblPr>
        <w:tblW w:w="0" w:type="auto"/>
        <w:tblLayout w:type="fixed"/>
        <w:tblCellMar>
          <w:top w:w="102" w:type="dxa"/>
          <w:left w:w="62" w:type="dxa"/>
          <w:bottom w:w="102" w:type="dxa"/>
          <w:right w:w="62" w:type="dxa"/>
        </w:tblCellMar>
        <w:tblLook w:val="0000"/>
      </w:tblPr>
      <w:tblGrid>
        <w:gridCol w:w="3402"/>
        <w:gridCol w:w="360"/>
        <w:gridCol w:w="5272"/>
      </w:tblGrid>
      <w:tr w:rsidR="00BA1AFA">
        <w:tc>
          <w:tcPr>
            <w:tcW w:w="3402" w:type="dxa"/>
            <w:tcBorders>
              <w:top w:val="nil"/>
              <w:left w:val="nil"/>
              <w:bottom w:val="nil"/>
              <w:right w:val="nil"/>
            </w:tcBorders>
          </w:tcPr>
          <w:p w:rsidR="00BA1AFA" w:rsidRDefault="00BA1AFA">
            <w:pPr>
              <w:pStyle w:val="ConsPlusNormal"/>
            </w:pPr>
            <w:r>
              <w:t>"ОБЪЕМЫ БЮДЖЕТНЫХ АССИГНОВАНИЙ ГОСУДАРСТВЕННОЙ ПРОГРАММЫ</w:t>
            </w:r>
          </w:p>
        </w:tc>
        <w:tc>
          <w:tcPr>
            <w:tcW w:w="360" w:type="dxa"/>
            <w:tcBorders>
              <w:top w:val="nil"/>
              <w:left w:val="nil"/>
              <w:bottom w:val="nil"/>
              <w:right w:val="nil"/>
            </w:tcBorders>
          </w:tcPr>
          <w:p w:rsidR="00BA1AFA" w:rsidRDefault="00BA1AFA">
            <w:pPr>
              <w:pStyle w:val="ConsPlusNormal"/>
              <w:jc w:val="center"/>
            </w:pPr>
            <w:r>
              <w:t>-</w:t>
            </w:r>
          </w:p>
        </w:tc>
        <w:tc>
          <w:tcPr>
            <w:tcW w:w="5272" w:type="dxa"/>
            <w:tcBorders>
              <w:top w:val="nil"/>
              <w:left w:val="nil"/>
              <w:bottom w:val="nil"/>
              <w:right w:val="nil"/>
            </w:tcBorders>
          </w:tcPr>
          <w:p w:rsidR="00BA1AFA" w:rsidRDefault="00BA1AFA">
            <w:pPr>
              <w:pStyle w:val="ConsPlusNormal"/>
            </w:pPr>
            <w:r>
              <w:t>общий объем финансирования Государственной программы составит 93 162,7 млн. рублей, в том числе:</w:t>
            </w:r>
          </w:p>
          <w:p w:rsidR="00BA1AFA" w:rsidRDefault="00BA1AFA">
            <w:pPr>
              <w:pStyle w:val="ConsPlusNormal"/>
              <w:jc w:val="both"/>
            </w:pPr>
            <w:r>
              <w:t>в 2014 году - 10 584,8 млн. рублей;</w:t>
            </w:r>
          </w:p>
          <w:p w:rsidR="00BA1AFA" w:rsidRDefault="00BA1AFA">
            <w:pPr>
              <w:pStyle w:val="ConsPlusNormal"/>
              <w:jc w:val="both"/>
            </w:pPr>
            <w:r>
              <w:t>в 2015 году - 11 191,1 млн. рублей;</w:t>
            </w:r>
          </w:p>
          <w:p w:rsidR="00BA1AFA" w:rsidRDefault="00BA1AFA">
            <w:pPr>
              <w:pStyle w:val="ConsPlusNormal"/>
              <w:jc w:val="both"/>
            </w:pPr>
            <w:r>
              <w:t>в 2016 году - 11 297,5 млн. рублей;</w:t>
            </w:r>
          </w:p>
          <w:p w:rsidR="00BA1AFA" w:rsidRDefault="00BA1AFA">
            <w:pPr>
              <w:pStyle w:val="ConsPlusNormal"/>
              <w:jc w:val="both"/>
            </w:pPr>
            <w:r>
              <w:t>в 2017 году - 10 015,2 млн. рублей;</w:t>
            </w:r>
          </w:p>
          <w:p w:rsidR="00BA1AFA" w:rsidRDefault="00BA1AFA">
            <w:pPr>
              <w:pStyle w:val="ConsPlusNormal"/>
              <w:jc w:val="both"/>
            </w:pPr>
            <w:r>
              <w:t>в 2018 году - 10 020,2 млн. рублей;</w:t>
            </w:r>
          </w:p>
          <w:p w:rsidR="00BA1AFA" w:rsidRDefault="00BA1AFA">
            <w:pPr>
              <w:pStyle w:val="ConsPlusNormal"/>
              <w:jc w:val="both"/>
            </w:pPr>
            <w:r>
              <w:t>в 2019 году - 9 457,7 млн. рублей;</w:t>
            </w:r>
          </w:p>
          <w:p w:rsidR="00BA1AFA" w:rsidRDefault="00BA1AFA">
            <w:pPr>
              <w:pStyle w:val="ConsPlusNormal"/>
              <w:jc w:val="both"/>
            </w:pPr>
            <w:r>
              <w:t>в 2020 году - 10 207,0 млн. рублей;</w:t>
            </w:r>
          </w:p>
          <w:p w:rsidR="00BA1AFA" w:rsidRDefault="00BA1AFA">
            <w:pPr>
              <w:pStyle w:val="ConsPlusNormal"/>
              <w:jc w:val="both"/>
            </w:pPr>
            <w:r>
              <w:t>в 2021 году - 10 119,05 млн. рублей;</w:t>
            </w:r>
          </w:p>
          <w:p w:rsidR="00BA1AFA" w:rsidRDefault="00BA1AFA">
            <w:pPr>
              <w:pStyle w:val="ConsPlusNormal"/>
              <w:jc w:val="both"/>
            </w:pPr>
            <w:r>
              <w:t>в 2022 году - 5 134,7 млн. рублей;</w:t>
            </w:r>
          </w:p>
          <w:p w:rsidR="00BA1AFA" w:rsidRDefault="00BA1AFA">
            <w:pPr>
              <w:pStyle w:val="ConsPlusNormal"/>
              <w:jc w:val="both"/>
            </w:pPr>
            <w:r>
              <w:t>в 2023 году - 5 135,7 млн. рублей";</w:t>
            </w:r>
          </w:p>
        </w:tc>
      </w:tr>
    </w:tbl>
    <w:p w:rsidR="00BA1AFA" w:rsidRDefault="00BA1AFA">
      <w:pPr>
        <w:pStyle w:val="ConsPlusNormal"/>
        <w:jc w:val="both"/>
      </w:pPr>
    </w:p>
    <w:p w:rsidR="00BA1AFA" w:rsidRDefault="00BA1AFA">
      <w:pPr>
        <w:pStyle w:val="ConsPlusNormal"/>
        <w:ind w:firstLine="540"/>
        <w:jc w:val="both"/>
      </w:pPr>
      <w:r>
        <w:t xml:space="preserve">в </w:t>
      </w:r>
      <w:hyperlink r:id="rId9" w:history="1">
        <w:r>
          <w:rPr>
            <w:color w:val="0000FF"/>
          </w:rPr>
          <w:t>подпрограмме</w:t>
        </w:r>
      </w:hyperlink>
      <w:r>
        <w:t xml:space="preserve"> "Внутрирегиональные межбюджетные отношения Самарской области" на 2014 - 2023 годы (далее - подпрограмма 3):</w:t>
      </w:r>
    </w:p>
    <w:p w:rsidR="00BA1AFA" w:rsidRDefault="00BA1AFA">
      <w:pPr>
        <w:pStyle w:val="ConsPlusNormal"/>
        <w:spacing w:before="220"/>
        <w:ind w:firstLine="540"/>
        <w:jc w:val="both"/>
      </w:pPr>
      <w:hyperlink r:id="rId10" w:history="1">
        <w:r>
          <w:rPr>
            <w:color w:val="0000FF"/>
          </w:rPr>
          <w:t>раздел</w:t>
        </w:r>
      </w:hyperlink>
      <w:r>
        <w:t xml:space="preserve"> "Объемы бюджетных ассигнований подпрограммы 3" паспорта подпрограммы 3 изложить в следующей редакции:</w:t>
      </w:r>
    </w:p>
    <w:p w:rsidR="00BA1AFA" w:rsidRDefault="00BA1AFA">
      <w:pPr>
        <w:pStyle w:val="ConsPlusNormal"/>
        <w:jc w:val="both"/>
      </w:pPr>
    </w:p>
    <w:tbl>
      <w:tblPr>
        <w:tblW w:w="0" w:type="auto"/>
        <w:tblLayout w:type="fixed"/>
        <w:tblCellMar>
          <w:top w:w="102" w:type="dxa"/>
          <w:left w:w="62" w:type="dxa"/>
          <w:bottom w:w="102" w:type="dxa"/>
          <w:right w:w="62" w:type="dxa"/>
        </w:tblCellMar>
        <w:tblLook w:val="0000"/>
      </w:tblPr>
      <w:tblGrid>
        <w:gridCol w:w="3402"/>
        <w:gridCol w:w="360"/>
        <w:gridCol w:w="5272"/>
      </w:tblGrid>
      <w:tr w:rsidR="00BA1AFA">
        <w:tc>
          <w:tcPr>
            <w:tcW w:w="3402" w:type="dxa"/>
            <w:tcBorders>
              <w:top w:val="nil"/>
              <w:left w:val="nil"/>
              <w:bottom w:val="nil"/>
              <w:right w:val="nil"/>
            </w:tcBorders>
          </w:tcPr>
          <w:p w:rsidR="00BA1AFA" w:rsidRDefault="00BA1AFA">
            <w:pPr>
              <w:pStyle w:val="ConsPlusNormal"/>
            </w:pPr>
            <w:r>
              <w:t>"ОБЪЕМЫ БЮДЖЕТНЫХ АССИГНОВАНИЙ ПОДПРОГРАММЫ 3</w:t>
            </w:r>
          </w:p>
        </w:tc>
        <w:tc>
          <w:tcPr>
            <w:tcW w:w="360" w:type="dxa"/>
            <w:tcBorders>
              <w:top w:val="nil"/>
              <w:left w:val="nil"/>
              <w:bottom w:val="nil"/>
              <w:right w:val="nil"/>
            </w:tcBorders>
          </w:tcPr>
          <w:p w:rsidR="00BA1AFA" w:rsidRDefault="00BA1AFA">
            <w:pPr>
              <w:pStyle w:val="ConsPlusNormal"/>
              <w:jc w:val="center"/>
            </w:pPr>
            <w:r>
              <w:t>-</w:t>
            </w:r>
          </w:p>
        </w:tc>
        <w:tc>
          <w:tcPr>
            <w:tcW w:w="5272" w:type="dxa"/>
            <w:tcBorders>
              <w:top w:val="nil"/>
              <w:left w:val="nil"/>
              <w:bottom w:val="nil"/>
              <w:right w:val="nil"/>
            </w:tcBorders>
          </w:tcPr>
          <w:p w:rsidR="00BA1AFA" w:rsidRDefault="00BA1AFA">
            <w:pPr>
              <w:pStyle w:val="ConsPlusNormal"/>
              <w:jc w:val="both"/>
            </w:pPr>
            <w:r>
              <w:t>общий объем финансирования подпрограммы 3 составит 48 987,6 млн. рублей, в том числе:</w:t>
            </w:r>
          </w:p>
          <w:p w:rsidR="00BA1AFA" w:rsidRDefault="00BA1AFA">
            <w:pPr>
              <w:pStyle w:val="ConsPlusNormal"/>
              <w:jc w:val="both"/>
            </w:pPr>
            <w:r>
              <w:t>в 2014 году - 6 432,2 млн. рублей;</w:t>
            </w:r>
          </w:p>
          <w:p w:rsidR="00BA1AFA" w:rsidRDefault="00BA1AFA">
            <w:pPr>
              <w:pStyle w:val="ConsPlusNormal"/>
              <w:jc w:val="both"/>
            </w:pPr>
            <w:r>
              <w:lastRenderedPageBreak/>
              <w:t>в 2015 году - 6 117,4 млн. рублей;</w:t>
            </w:r>
          </w:p>
          <w:p w:rsidR="00BA1AFA" w:rsidRDefault="00BA1AFA">
            <w:pPr>
              <w:pStyle w:val="ConsPlusNormal"/>
              <w:jc w:val="both"/>
            </w:pPr>
            <w:r>
              <w:t>в 2016 году - 5 571,2 млн. рублей;</w:t>
            </w:r>
          </w:p>
          <w:p w:rsidR="00BA1AFA" w:rsidRDefault="00BA1AFA">
            <w:pPr>
              <w:pStyle w:val="ConsPlusNormal"/>
              <w:jc w:val="both"/>
            </w:pPr>
            <w:r>
              <w:t>в 2017 году - 5 167,5 млн. рублей;</w:t>
            </w:r>
          </w:p>
          <w:p w:rsidR="00BA1AFA" w:rsidRDefault="00BA1AFA">
            <w:pPr>
              <w:pStyle w:val="ConsPlusNormal"/>
              <w:jc w:val="both"/>
            </w:pPr>
            <w:r>
              <w:t>в 2018 году - 5 640,0 млн. рублей;</w:t>
            </w:r>
          </w:p>
          <w:p w:rsidR="00BA1AFA" w:rsidRDefault="00BA1AFA">
            <w:pPr>
              <w:pStyle w:val="ConsPlusNormal"/>
              <w:jc w:val="both"/>
            </w:pPr>
            <w:r>
              <w:t>в 2019 году - 5 560,3 млн. рублей;</w:t>
            </w:r>
          </w:p>
          <w:p w:rsidR="00BA1AFA" w:rsidRDefault="00BA1AFA">
            <w:pPr>
              <w:pStyle w:val="ConsPlusNormal"/>
              <w:jc w:val="both"/>
            </w:pPr>
            <w:r>
              <w:t>в 2020 году - 6 551,3 млн. рублей;</w:t>
            </w:r>
          </w:p>
          <w:p w:rsidR="00BA1AFA" w:rsidRDefault="00BA1AFA">
            <w:pPr>
              <w:pStyle w:val="ConsPlusNormal"/>
              <w:jc w:val="both"/>
            </w:pPr>
            <w:r>
              <w:t>в 2021 году - 6 040,1 млн. рублей;</w:t>
            </w:r>
          </w:p>
          <w:p w:rsidR="00BA1AFA" w:rsidRDefault="00BA1AFA">
            <w:pPr>
              <w:pStyle w:val="ConsPlusNormal"/>
              <w:jc w:val="both"/>
            </w:pPr>
            <w:r>
              <w:t>в 2022 году - 953,9 млн. рублей;</w:t>
            </w:r>
          </w:p>
          <w:p w:rsidR="00BA1AFA" w:rsidRDefault="00BA1AFA">
            <w:pPr>
              <w:pStyle w:val="ConsPlusNormal"/>
              <w:jc w:val="both"/>
            </w:pPr>
            <w:r>
              <w:t>в 2023 году - 953,9 млн. рублей";</w:t>
            </w:r>
          </w:p>
        </w:tc>
      </w:tr>
    </w:tbl>
    <w:p w:rsidR="00BA1AFA" w:rsidRDefault="00BA1AFA">
      <w:pPr>
        <w:pStyle w:val="ConsPlusNormal"/>
        <w:jc w:val="both"/>
      </w:pPr>
    </w:p>
    <w:p w:rsidR="00BA1AFA" w:rsidRDefault="00BA1AFA">
      <w:pPr>
        <w:pStyle w:val="ConsPlusNormal"/>
        <w:ind w:firstLine="540"/>
        <w:jc w:val="both"/>
      </w:pPr>
      <w:r>
        <w:t xml:space="preserve">в </w:t>
      </w:r>
      <w:hyperlink r:id="rId11" w:history="1">
        <w:r>
          <w:rPr>
            <w:color w:val="0000FF"/>
          </w:rPr>
          <w:t>подпрограмме</w:t>
        </w:r>
      </w:hyperlink>
      <w:r>
        <w:t xml:space="preserve"> "Организация планирования и исполнения областного бюджета" на 2014 - 2023 годы (далее - подпрограмма 4):</w:t>
      </w:r>
    </w:p>
    <w:p w:rsidR="00BA1AFA" w:rsidRDefault="00BA1AFA">
      <w:pPr>
        <w:pStyle w:val="ConsPlusNormal"/>
        <w:spacing w:before="220"/>
        <w:ind w:firstLine="540"/>
        <w:jc w:val="both"/>
      </w:pPr>
      <w:hyperlink r:id="rId12" w:history="1">
        <w:r>
          <w:rPr>
            <w:color w:val="0000FF"/>
          </w:rPr>
          <w:t>раздел</w:t>
        </w:r>
      </w:hyperlink>
      <w:r>
        <w:t xml:space="preserve"> "Объемы бюджетных ассигнований подпрограммы 4" паспорта подпрограммы 4 изложить в следующей редакции:</w:t>
      </w:r>
    </w:p>
    <w:p w:rsidR="00BA1AFA" w:rsidRDefault="00BA1AFA">
      <w:pPr>
        <w:pStyle w:val="ConsPlusNormal"/>
        <w:jc w:val="both"/>
      </w:pPr>
    </w:p>
    <w:tbl>
      <w:tblPr>
        <w:tblW w:w="0" w:type="auto"/>
        <w:tblLayout w:type="fixed"/>
        <w:tblCellMar>
          <w:top w:w="102" w:type="dxa"/>
          <w:left w:w="62" w:type="dxa"/>
          <w:bottom w:w="102" w:type="dxa"/>
          <w:right w:w="62" w:type="dxa"/>
        </w:tblCellMar>
        <w:tblLook w:val="0000"/>
      </w:tblPr>
      <w:tblGrid>
        <w:gridCol w:w="3402"/>
        <w:gridCol w:w="360"/>
        <w:gridCol w:w="5272"/>
      </w:tblGrid>
      <w:tr w:rsidR="00BA1AFA">
        <w:tc>
          <w:tcPr>
            <w:tcW w:w="3402" w:type="dxa"/>
            <w:tcBorders>
              <w:top w:val="nil"/>
              <w:left w:val="nil"/>
              <w:bottom w:val="nil"/>
              <w:right w:val="nil"/>
            </w:tcBorders>
          </w:tcPr>
          <w:p w:rsidR="00BA1AFA" w:rsidRDefault="00BA1AFA">
            <w:pPr>
              <w:pStyle w:val="ConsPlusNormal"/>
            </w:pPr>
            <w:r>
              <w:t>"ОБЪЕМЫ БЮДЖЕТНЫХ АССИГНОВАНИЙ ПОДПРОГРАММЫ 4</w:t>
            </w:r>
          </w:p>
        </w:tc>
        <w:tc>
          <w:tcPr>
            <w:tcW w:w="360" w:type="dxa"/>
            <w:tcBorders>
              <w:top w:val="nil"/>
              <w:left w:val="nil"/>
              <w:bottom w:val="nil"/>
              <w:right w:val="nil"/>
            </w:tcBorders>
          </w:tcPr>
          <w:p w:rsidR="00BA1AFA" w:rsidRDefault="00BA1AFA">
            <w:pPr>
              <w:pStyle w:val="ConsPlusNormal"/>
              <w:jc w:val="center"/>
            </w:pPr>
            <w:r>
              <w:t>-</w:t>
            </w:r>
          </w:p>
        </w:tc>
        <w:tc>
          <w:tcPr>
            <w:tcW w:w="5272" w:type="dxa"/>
            <w:tcBorders>
              <w:top w:val="nil"/>
              <w:left w:val="nil"/>
              <w:bottom w:val="nil"/>
              <w:right w:val="nil"/>
            </w:tcBorders>
          </w:tcPr>
          <w:p w:rsidR="00BA1AFA" w:rsidRDefault="00BA1AFA">
            <w:pPr>
              <w:pStyle w:val="ConsPlusNormal"/>
              <w:jc w:val="both"/>
            </w:pPr>
            <w:r>
              <w:t>общий объем финансирования подпрограммы 4 составит 4 928,3 млн. рублей, в том числе:</w:t>
            </w:r>
          </w:p>
          <w:p w:rsidR="00BA1AFA" w:rsidRDefault="00BA1AFA">
            <w:pPr>
              <w:pStyle w:val="ConsPlusNormal"/>
              <w:jc w:val="both"/>
            </w:pPr>
            <w:r>
              <w:t>в 2014 году - 349,9 млн. рублей;</w:t>
            </w:r>
          </w:p>
          <w:p w:rsidR="00BA1AFA" w:rsidRDefault="00BA1AFA">
            <w:pPr>
              <w:pStyle w:val="ConsPlusNormal"/>
              <w:jc w:val="both"/>
            </w:pPr>
            <w:r>
              <w:t>в 2015 году - 299,9 млн. рублей;</w:t>
            </w:r>
          </w:p>
          <w:p w:rsidR="00BA1AFA" w:rsidRDefault="00BA1AFA">
            <w:pPr>
              <w:pStyle w:val="ConsPlusNormal"/>
              <w:jc w:val="both"/>
            </w:pPr>
            <w:r>
              <w:t>в 2016 году - 310,5 млн. рублей;</w:t>
            </w:r>
          </w:p>
          <w:p w:rsidR="00BA1AFA" w:rsidRDefault="00BA1AFA">
            <w:pPr>
              <w:pStyle w:val="ConsPlusNormal"/>
              <w:jc w:val="both"/>
            </w:pPr>
            <w:r>
              <w:t>в 2017 году - 301,8 млн. рублей;</w:t>
            </w:r>
          </w:p>
          <w:p w:rsidR="00BA1AFA" w:rsidRDefault="00BA1AFA">
            <w:pPr>
              <w:pStyle w:val="ConsPlusNormal"/>
              <w:jc w:val="both"/>
            </w:pPr>
            <w:r>
              <w:t>в 2018 году - 338,9 млн. рублей;</w:t>
            </w:r>
          </w:p>
          <w:p w:rsidR="00BA1AFA" w:rsidRDefault="00BA1AFA">
            <w:pPr>
              <w:pStyle w:val="ConsPlusNormal"/>
              <w:jc w:val="both"/>
            </w:pPr>
            <w:r>
              <w:t>в 2019 году - 518,2 млн. рублей;</w:t>
            </w:r>
          </w:p>
          <w:p w:rsidR="00BA1AFA" w:rsidRDefault="00BA1AFA">
            <w:pPr>
              <w:pStyle w:val="ConsPlusNormal"/>
              <w:jc w:val="both"/>
            </w:pPr>
            <w:r>
              <w:t>в 2020 году - 574,8 млн. рублей;</w:t>
            </w:r>
          </w:p>
          <w:p w:rsidR="00BA1AFA" w:rsidRDefault="00BA1AFA">
            <w:pPr>
              <w:pStyle w:val="ConsPlusNormal"/>
              <w:jc w:val="both"/>
            </w:pPr>
            <w:r>
              <w:t>в 2021 году - 761,9 млн. рублей;</w:t>
            </w:r>
          </w:p>
          <w:p w:rsidR="00BA1AFA" w:rsidRDefault="00BA1AFA">
            <w:pPr>
              <w:pStyle w:val="ConsPlusNormal"/>
              <w:jc w:val="both"/>
            </w:pPr>
            <w:r>
              <w:t>в 2022 году - 736,3 млн. рублей;</w:t>
            </w:r>
          </w:p>
          <w:p w:rsidR="00BA1AFA" w:rsidRDefault="00BA1AFA">
            <w:pPr>
              <w:pStyle w:val="ConsPlusNormal"/>
              <w:jc w:val="both"/>
            </w:pPr>
            <w:r>
              <w:t>в 2023 году - 736,3 млн. рублей";</w:t>
            </w:r>
          </w:p>
        </w:tc>
      </w:tr>
    </w:tbl>
    <w:p w:rsidR="00BA1AFA" w:rsidRDefault="00BA1AFA">
      <w:pPr>
        <w:pStyle w:val="ConsPlusNormal"/>
        <w:jc w:val="both"/>
      </w:pPr>
    </w:p>
    <w:p w:rsidR="00BA1AFA" w:rsidRDefault="00BA1AFA">
      <w:pPr>
        <w:pStyle w:val="ConsPlusNormal"/>
        <w:ind w:firstLine="540"/>
        <w:jc w:val="both"/>
      </w:pPr>
      <w:r>
        <w:t xml:space="preserve">в </w:t>
      </w:r>
      <w:hyperlink r:id="rId13" w:history="1">
        <w:r>
          <w:rPr>
            <w:color w:val="0000FF"/>
          </w:rPr>
          <w:t>подпрограмме</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 (далее - подпрограмма 5):</w:t>
      </w:r>
    </w:p>
    <w:p w:rsidR="00BA1AFA" w:rsidRDefault="00BA1AFA">
      <w:pPr>
        <w:pStyle w:val="ConsPlusNormal"/>
        <w:spacing w:before="220"/>
        <w:ind w:firstLine="540"/>
        <w:jc w:val="both"/>
      </w:pPr>
      <w:hyperlink r:id="rId14" w:history="1">
        <w:r>
          <w:rPr>
            <w:color w:val="0000FF"/>
          </w:rPr>
          <w:t>раздел</w:t>
        </w:r>
      </w:hyperlink>
      <w:r>
        <w:t xml:space="preserve"> "Объемы бюджетных ассигнований подпрограммы 5" паспорта подпрограммы 5 изложить в следующей редакции:</w:t>
      </w:r>
    </w:p>
    <w:p w:rsidR="00BA1AFA" w:rsidRDefault="00BA1AFA">
      <w:pPr>
        <w:pStyle w:val="ConsPlusNormal"/>
        <w:jc w:val="both"/>
      </w:pPr>
    </w:p>
    <w:tbl>
      <w:tblPr>
        <w:tblW w:w="0" w:type="auto"/>
        <w:tblLayout w:type="fixed"/>
        <w:tblCellMar>
          <w:top w:w="102" w:type="dxa"/>
          <w:left w:w="62" w:type="dxa"/>
          <w:bottom w:w="102" w:type="dxa"/>
          <w:right w:w="62" w:type="dxa"/>
        </w:tblCellMar>
        <w:tblLook w:val="0000"/>
      </w:tblPr>
      <w:tblGrid>
        <w:gridCol w:w="3402"/>
        <w:gridCol w:w="360"/>
        <w:gridCol w:w="5272"/>
      </w:tblGrid>
      <w:tr w:rsidR="00BA1AFA">
        <w:tc>
          <w:tcPr>
            <w:tcW w:w="3402" w:type="dxa"/>
            <w:tcBorders>
              <w:top w:val="nil"/>
              <w:left w:val="nil"/>
              <w:bottom w:val="nil"/>
              <w:right w:val="nil"/>
            </w:tcBorders>
          </w:tcPr>
          <w:p w:rsidR="00BA1AFA" w:rsidRDefault="00BA1AFA">
            <w:pPr>
              <w:pStyle w:val="ConsPlusNormal"/>
            </w:pPr>
            <w:r>
              <w:t>"ОБЪЕМЫ БЮДЖЕТНЫХ АССИГНОВАНИЙ ПОДПРОГРАММЫ 5</w:t>
            </w:r>
          </w:p>
        </w:tc>
        <w:tc>
          <w:tcPr>
            <w:tcW w:w="360" w:type="dxa"/>
            <w:tcBorders>
              <w:top w:val="nil"/>
              <w:left w:val="nil"/>
              <w:bottom w:val="nil"/>
              <w:right w:val="nil"/>
            </w:tcBorders>
          </w:tcPr>
          <w:p w:rsidR="00BA1AFA" w:rsidRDefault="00BA1AFA">
            <w:pPr>
              <w:pStyle w:val="ConsPlusNormal"/>
              <w:jc w:val="center"/>
            </w:pPr>
            <w:r>
              <w:t>-</w:t>
            </w:r>
          </w:p>
        </w:tc>
        <w:tc>
          <w:tcPr>
            <w:tcW w:w="5272" w:type="dxa"/>
            <w:tcBorders>
              <w:top w:val="nil"/>
              <w:left w:val="nil"/>
              <w:bottom w:val="nil"/>
              <w:right w:val="nil"/>
            </w:tcBorders>
          </w:tcPr>
          <w:p w:rsidR="00BA1AFA" w:rsidRDefault="00BA1AFA">
            <w:pPr>
              <w:pStyle w:val="ConsPlusNormal"/>
              <w:jc w:val="both"/>
            </w:pPr>
            <w:r>
              <w:t>общий объем финансирования подпрограммы 5 составит 1 503,0 млн. рублей, в том числе:</w:t>
            </w:r>
          </w:p>
          <w:p w:rsidR="00BA1AFA" w:rsidRDefault="00BA1AFA">
            <w:pPr>
              <w:pStyle w:val="ConsPlusNormal"/>
              <w:jc w:val="both"/>
            </w:pPr>
            <w:r>
              <w:t>в 2014 году - 196,1 млн. рублей;</w:t>
            </w:r>
          </w:p>
          <w:p w:rsidR="00BA1AFA" w:rsidRDefault="00BA1AFA">
            <w:pPr>
              <w:pStyle w:val="ConsPlusNormal"/>
              <w:jc w:val="both"/>
            </w:pPr>
            <w:r>
              <w:t>в 2015 году - 234,5 млн. рублей;</w:t>
            </w:r>
          </w:p>
          <w:p w:rsidR="00BA1AFA" w:rsidRDefault="00BA1AFA">
            <w:pPr>
              <w:pStyle w:val="ConsPlusNormal"/>
              <w:jc w:val="both"/>
            </w:pPr>
            <w:r>
              <w:t>в 2016 году - 170,5 млн. рублей;</w:t>
            </w:r>
          </w:p>
          <w:p w:rsidR="00BA1AFA" w:rsidRDefault="00BA1AFA">
            <w:pPr>
              <w:pStyle w:val="ConsPlusNormal"/>
              <w:jc w:val="both"/>
            </w:pPr>
            <w:r>
              <w:t>в 2017 году - 161,9 млн. рублей;</w:t>
            </w:r>
          </w:p>
          <w:p w:rsidR="00BA1AFA" w:rsidRDefault="00BA1AFA">
            <w:pPr>
              <w:pStyle w:val="ConsPlusNormal"/>
              <w:jc w:val="both"/>
            </w:pPr>
            <w:r>
              <w:t>в 2018 году - 131,1 млн. рублей;</w:t>
            </w:r>
          </w:p>
          <w:p w:rsidR="00BA1AFA" w:rsidRDefault="00BA1AFA">
            <w:pPr>
              <w:pStyle w:val="ConsPlusNormal"/>
              <w:jc w:val="both"/>
            </w:pPr>
            <w:r>
              <w:t>в 2019 году - 162,1 млн. рублей;</w:t>
            </w:r>
          </w:p>
          <w:p w:rsidR="00BA1AFA" w:rsidRDefault="00BA1AFA">
            <w:pPr>
              <w:pStyle w:val="ConsPlusNormal"/>
              <w:jc w:val="both"/>
            </w:pPr>
            <w:r>
              <w:t>в 2020 году - 166,3 млн. рублей;</w:t>
            </w:r>
          </w:p>
          <w:p w:rsidR="00BA1AFA" w:rsidRDefault="00BA1AFA">
            <w:pPr>
              <w:pStyle w:val="ConsPlusNormal"/>
              <w:jc w:val="both"/>
            </w:pPr>
            <w:r>
              <w:t>в 2021 году - 120,9 млн. рублей;</w:t>
            </w:r>
          </w:p>
          <w:p w:rsidR="00BA1AFA" w:rsidRDefault="00BA1AFA">
            <w:pPr>
              <w:pStyle w:val="ConsPlusNormal"/>
              <w:jc w:val="both"/>
            </w:pPr>
            <w:r>
              <w:t>в 2022 году - 79,8 млн. рублей;</w:t>
            </w:r>
          </w:p>
          <w:p w:rsidR="00BA1AFA" w:rsidRDefault="00BA1AFA">
            <w:pPr>
              <w:pStyle w:val="ConsPlusNormal"/>
              <w:jc w:val="both"/>
            </w:pPr>
            <w:r>
              <w:t>в 2023 году - 79,8 млн. рублей";</w:t>
            </w:r>
          </w:p>
        </w:tc>
      </w:tr>
    </w:tbl>
    <w:p w:rsidR="00BA1AFA" w:rsidRDefault="00BA1AFA">
      <w:pPr>
        <w:pStyle w:val="ConsPlusNormal"/>
        <w:jc w:val="both"/>
      </w:pPr>
    </w:p>
    <w:p w:rsidR="00BA1AFA" w:rsidRDefault="00BA1AFA">
      <w:pPr>
        <w:pStyle w:val="ConsPlusNormal"/>
        <w:ind w:firstLine="540"/>
        <w:jc w:val="both"/>
      </w:pPr>
      <w:hyperlink r:id="rId15" w:history="1">
        <w:r>
          <w:rPr>
            <w:color w:val="0000FF"/>
          </w:rPr>
          <w:t>приложение 2</w:t>
        </w:r>
      </w:hyperlink>
      <w:r>
        <w:t xml:space="preserve"> к Государственной программе изложить в редакции согласно </w:t>
      </w:r>
      <w:hyperlink w:anchor="P100" w:history="1">
        <w:r>
          <w:rPr>
            <w:color w:val="0000FF"/>
          </w:rPr>
          <w:t>приложению</w:t>
        </w:r>
      </w:hyperlink>
      <w:r>
        <w:t xml:space="preserve"> к настоящему Постановлению.</w:t>
      </w:r>
    </w:p>
    <w:p w:rsidR="00BA1AFA" w:rsidRDefault="00BA1AFA">
      <w:pPr>
        <w:pStyle w:val="ConsPlusNormal"/>
        <w:spacing w:before="220"/>
        <w:ind w:firstLine="540"/>
        <w:jc w:val="both"/>
      </w:pPr>
      <w:r>
        <w:lastRenderedPageBreak/>
        <w:t>2. Установить, что увеличение объема финансирования отдельных действующих расходных обязательств Самарской области, предусмотренное настоящим Постановлением, осуществляется за счет средств областного бюджета в пределах общего объема бюджетных ассигнований, предусматриваемого в установленном порядке министерству управления финансами Самарской области на соответствующий финансовый год и плановый период.</w:t>
      </w:r>
    </w:p>
    <w:p w:rsidR="00BA1AFA" w:rsidRDefault="00BA1AFA">
      <w:pPr>
        <w:pStyle w:val="ConsPlusNormal"/>
        <w:spacing w:before="220"/>
        <w:ind w:firstLine="540"/>
        <w:jc w:val="both"/>
      </w:pPr>
      <w:r>
        <w:t>3. Опубликовать настоящее Постановление в средствах массовой информации.</w:t>
      </w:r>
    </w:p>
    <w:p w:rsidR="00BA1AFA" w:rsidRDefault="00BA1AFA">
      <w:pPr>
        <w:pStyle w:val="ConsPlusNormal"/>
        <w:spacing w:before="220"/>
        <w:ind w:firstLine="540"/>
        <w:jc w:val="both"/>
      </w:pPr>
      <w:r>
        <w:t>4. Настоящее Постановление вступает в силу со дня его официального опубликования.</w:t>
      </w:r>
    </w:p>
    <w:p w:rsidR="00BA1AFA" w:rsidRDefault="00BA1AFA">
      <w:pPr>
        <w:pStyle w:val="ConsPlusNormal"/>
        <w:jc w:val="both"/>
      </w:pPr>
    </w:p>
    <w:p w:rsidR="00BA1AFA" w:rsidRDefault="00BA1AFA">
      <w:pPr>
        <w:pStyle w:val="ConsPlusNormal"/>
        <w:jc w:val="right"/>
      </w:pPr>
      <w:r>
        <w:t>Первый вице-губернатор - председатель</w:t>
      </w:r>
    </w:p>
    <w:p w:rsidR="00BA1AFA" w:rsidRDefault="00BA1AFA">
      <w:pPr>
        <w:pStyle w:val="ConsPlusNormal"/>
        <w:jc w:val="right"/>
      </w:pPr>
      <w:r>
        <w:t>Правительства Самарской области</w:t>
      </w:r>
    </w:p>
    <w:p w:rsidR="00BA1AFA" w:rsidRDefault="00BA1AFA">
      <w:pPr>
        <w:pStyle w:val="ConsPlusNormal"/>
        <w:jc w:val="right"/>
      </w:pPr>
      <w:r>
        <w:t>В.В.КУДРЯШОВ</w:t>
      </w:r>
    </w:p>
    <w:p w:rsidR="00BA1AFA" w:rsidRDefault="00BA1AFA">
      <w:pPr>
        <w:pStyle w:val="ConsPlusNormal"/>
        <w:jc w:val="both"/>
      </w:pPr>
    </w:p>
    <w:p w:rsidR="00BA1AFA" w:rsidRDefault="00BA1AFA">
      <w:pPr>
        <w:pStyle w:val="ConsPlusNormal"/>
        <w:jc w:val="both"/>
      </w:pPr>
    </w:p>
    <w:p w:rsidR="00BA1AFA" w:rsidRDefault="00BA1AFA">
      <w:pPr>
        <w:pStyle w:val="ConsPlusNormal"/>
        <w:jc w:val="both"/>
      </w:pPr>
    </w:p>
    <w:p w:rsidR="00BA1AFA" w:rsidRDefault="00BA1AFA">
      <w:pPr>
        <w:pStyle w:val="ConsPlusNormal"/>
        <w:jc w:val="both"/>
      </w:pPr>
    </w:p>
    <w:p w:rsidR="00BA1AFA" w:rsidRDefault="00BA1AFA">
      <w:pPr>
        <w:pStyle w:val="ConsPlusNormal"/>
        <w:jc w:val="both"/>
      </w:pPr>
    </w:p>
    <w:p w:rsidR="00BA1AFA" w:rsidRDefault="00BA1AFA">
      <w:pPr>
        <w:pStyle w:val="ConsPlusNormal"/>
        <w:jc w:val="right"/>
        <w:outlineLvl w:val="0"/>
      </w:pPr>
      <w:r>
        <w:t>Приложение</w:t>
      </w:r>
    </w:p>
    <w:p w:rsidR="00BA1AFA" w:rsidRDefault="00BA1AFA">
      <w:pPr>
        <w:pStyle w:val="ConsPlusNormal"/>
        <w:jc w:val="right"/>
      </w:pPr>
      <w:r>
        <w:t>к Постановлению</w:t>
      </w:r>
    </w:p>
    <w:p w:rsidR="00BA1AFA" w:rsidRDefault="00BA1AFA">
      <w:pPr>
        <w:pStyle w:val="ConsPlusNormal"/>
        <w:jc w:val="right"/>
      </w:pPr>
      <w:r>
        <w:t>Правительства Самарской области</w:t>
      </w:r>
    </w:p>
    <w:p w:rsidR="00BA1AFA" w:rsidRDefault="00BA1AFA">
      <w:pPr>
        <w:pStyle w:val="ConsPlusNormal"/>
        <w:jc w:val="right"/>
      </w:pPr>
      <w:r>
        <w:t>от 27 апреля 2021 г. N 258</w:t>
      </w:r>
    </w:p>
    <w:p w:rsidR="00BA1AFA" w:rsidRDefault="00BA1AFA">
      <w:pPr>
        <w:pStyle w:val="ConsPlusNormal"/>
        <w:jc w:val="both"/>
      </w:pPr>
    </w:p>
    <w:p w:rsidR="00BA1AFA" w:rsidRDefault="00BA1AFA">
      <w:pPr>
        <w:pStyle w:val="ConsPlusTitle"/>
        <w:jc w:val="center"/>
      </w:pPr>
      <w:bookmarkStart w:id="0" w:name="P100"/>
      <w:bookmarkEnd w:id="0"/>
      <w:r>
        <w:t>ПЕРЕЧЕНЬ</w:t>
      </w:r>
    </w:p>
    <w:p w:rsidR="00BA1AFA" w:rsidRDefault="00BA1AFA">
      <w:pPr>
        <w:pStyle w:val="ConsPlusTitle"/>
        <w:jc w:val="center"/>
      </w:pPr>
      <w:r>
        <w:t>ОСНОВНЫХ МЕРОПРИЯТИЙ ГОСУДАРСТВЕННОЙ ПРОГРАММЫ САМАРСКОЙ</w:t>
      </w:r>
    </w:p>
    <w:p w:rsidR="00BA1AFA" w:rsidRDefault="00BA1AFA">
      <w:pPr>
        <w:pStyle w:val="ConsPlusTitle"/>
        <w:jc w:val="center"/>
      </w:pPr>
      <w:r>
        <w:t>ОБЛАСТИ "УПРАВЛЕНИЕ ГОСУДАРСТВЕННЫМИ ФИНАНСАМИ И РАЗВИТИЕ</w:t>
      </w:r>
    </w:p>
    <w:p w:rsidR="00BA1AFA" w:rsidRDefault="00BA1AFA">
      <w:pPr>
        <w:pStyle w:val="ConsPlusTitle"/>
        <w:jc w:val="center"/>
      </w:pPr>
      <w:r>
        <w:t>МЕЖБЮДЖЕТНЫХ ОТНОШЕНИЙ" НА 2014 - 2023 ГОДЫ</w:t>
      </w:r>
    </w:p>
    <w:p w:rsidR="00BA1AFA" w:rsidRDefault="00BA1AFA">
      <w:pPr>
        <w:pStyle w:val="ConsPlusNormal"/>
        <w:jc w:val="both"/>
      </w:pPr>
    </w:p>
    <w:p w:rsidR="00BA1AFA" w:rsidRDefault="00BA1AFA">
      <w:pPr>
        <w:sectPr w:rsidR="00BA1AFA" w:rsidSect="00CD2C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3219"/>
        <w:gridCol w:w="1248"/>
        <w:gridCol w:w="993"/>
        <w:gridCol w:w="1020"/>
        <w:gridCol w:w="1077"/>
        <w:gridCol w:w="1020"/>
        <w:gridCol w:w="1134"/>
        <w:gridCol w:w="1077"/>
        <w:gridCol w:w="1134"/>
        <w:gridCol w:w="1134"/>
        <w:gridCol w:w="1134"/>
        <w:gridCol w:w="1077"/>
        <w:gridCol w:w="1134"/>
        <w:gridCol w:w="1134"/>
        <w:gridCol w:w="2608"/>
      </w:tblGrid>
      <w:tr w:rsidR="00BA1AFA">
        <w:tc>
          <w:tcPr>
            <w:tcW w:w="552" w:type="dxa"/>
            <w:vMerge w:val="restart"/>
            <w:tcBorders>
              <w:top w:val="single" w:sz="4" w:space="0" w:color="auto"/>
              <w:bottom w:val="single" w:sz="4" w:space="0" w:color="auto"/>
            </w:tcBorders>
          </w:tcPr>
          <w:p w:rsidR="00BA1AFA" w:rsidRDefault="00BA1AFA">
            <w:pPr>
              <w:pStyle w:val="ConsPlusNormal"/>
              <w:jc w:val="center"/>
            </w:pPr>
            <w:r>
              <w:lastRenderedPageBreak/>
              <w:t>N п/п</w:t>
            </w:r>
          </w:p>
        </w:tc>
        <w:tc>
          <w:tcPr>
            <w:tcW w:w="3219" w:type="dxa"/>
            <w:vMerge w:val="restart"/>
            <w:tcBorders>
              <w:top w:val="single" w:sz="4" w:space="0" w:color="auto"/>
              <w:bottom w:val="single" w:sz="4" w:space="0" w:color="auto"/>
            </w:tcBorders>
          </w:tcPr>
          <w:p w:rsidR="00BA1AFA" w:rsidRDefault="00BA1AFA">
            <w:pPr>
              <w:pStyle w:val="ConsPlusNormal"/>
              <w:jc w:val="center"/>
            </w:pPr>
            <w:r>
              <w:t>Наименование цели, задачи, мероприятия</w:t>
            </w:r>
          </w:p>
        </w:tc>
        <w:tc>
          <w:tcPr>
            <w:tcW w:w="1248" w:type="dxa"/>
            <w:vMerge w:val="restart"/>
            <w:tcBorders>
              <w:top w:val="single" w:sz="4" w:space="0" w:color="auto"/>
              <w:bottom w:val="single" w:sz="4" w:space="0" w:color="auto"/>
            </w:tcBorders>
          </w:tcPr>
          <w:p w:rsidR="00BA1AFA" w:rsidRDefault="00BA1AFA">
            <w:pPr>
              <w:pStyle w:val="ConsPlusNormal"/>
              <w:jc w:val="center"/>
            </w:pPr>
            <w:r>
              <w:t>Исполнители мероприятия</w:t>
            </w:r>
          </w:p>
        </w:tc>
        <w:tc>
          <w:tcPr>
            <w:tcW w:w="993" w:type="dxa"/>
            <w:vMerge w:val="restart"/>
            <w:tcBorders>
              <w:top w:val="single" w:sz="4" w:space="0" w:color="auto"/>
              <w:bottom w:val="single" w:sz="4" w:space="0" w:color="auto"/>
            </w:tcBorders>
          </w:tcPr>
          <w:p w:rsidR="00BA1AFA" w:rsidRDefault="00BA1AFA">
            <w:pPr>
              <w:pStyle w:val="ConsPlusNormal"/>
              <w:jc w:val="center"/>
            </w:pPr>
            <w:r>
              <w:t>Срок реализации, годы</w:t>
            </w:r>
          </w:p>
        </w:tc>
        <w:tc>
          <w:tcPr>
            <w:tcW w:w="12075" w:type="dxa"/>
            <w:gridSpan w:val="11"/>
            <w:tcBorders>
              <w:top w:val="single" w:sz="4" w:space="0" w:color="auto"/>
              <w:bottom w:val="single" w:sz="4" w:space="0" w:color="auto"/>
            </w:tcBorders>
          </w:tcPr>
          <w:p w:rsidR="00BA1AFA" w:rsidRDefault="00BA1AFA">
            <w:pPr>
              <w:pStyle w:val="ConsPlusNormal"/>
              <w:jc w:val="center"/>
            </w:pPr>
            <w:r>
              <w:t>Объем финансирования по годам, млн. рублей</w:t>
            </w:r>
          </w:p>
        </w:tc>
        <w:tc>
          <w:tcPr>
            <w:tcW w:w="2608" w:type="dxa"/>
            <w:vMerge w:val="restart"/>
            <w:tcBorders>
              <w:top w:val="single" w:sz="4" w:space="0" w:color="auto"/>
              <w:bottom w:val="single" w:sz="4" w:space="0" w:color="auto"/>
            </w:tcBorders>
          </w:tcPr>
          <w:p w:rsidR="00BA1AFA" w:rsidRDefault="00BA1AFA">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BA1AFA">
        <w:tc>
          <w:tcPr>
            <w:tcW w:w="552" w:type="dxa"/>
            <w:vMerge/>
            <w:tcBorders>
              <w:top w:val="single" w:sz="4" w:space="0" w:color="auto"/>
              <w:bottom w:val="single" w:sz="4" w:space="0" w:color="auto"/>
            </w:tcBorders>
          </w:tcPr>
          <w:p w:rsidR="00BA1AFA" w:rsidRDefault="00BA1AFA">
            <w:pPr>
              <w:spacing w:after="1" w:line="0" w:lineRule="atLeast"/>
            </w:pPr>
          </w:p>
        </w:tc>
        <w:tc>
          <w:tcPr>
            <w:tcW w:w="3219" w:type="dxa"/>
            <w:vMerge/>
            <w:tcBorders>
              <w:top w:val="single" w:sz="4" w:space="0" w:color="auto"/>
              <w:bottom w:val="single" w:sz="4" w:space="0" w:color="auto"/>
            </w:tcBorders>
          </w:tcPr>
          <w:p w:rsidR="00BA1AFA" w:rsidRDefault="00BA1AFA">
            <w:pPr>
              <w:spacing w:after="1" w:line="0" w:lineRule="atLeast"/>
            </w:pPr>
          </w:p>
        </w:tc>
        <w:tc>
          <w:tcPr>
            <w:tcW w:w="1248" w:type="dxa"/>
            <w:vMerge/>
            <w:tcBorders>
              <w:top w:val="single" w:sz="4" w:space="0" w:color="auto"/>
              <w:bottom w:val="single" w:sz="4" w:space="0" w:color="auto"/>
            </w:tcBorders>
          </w:tcPr>
          <w:p w:rsidR="00BA1AFA" w:rsidRDefault="00BA1AFA">
            <w:pPr>
              <w:spacing w:after="1" w:line="0" w:lineRule="atLeast"/>
            </w:pPr>
          </w:p>
        </w:tc>
        <w:tc>
          <w:tcPr>
            <w:tcW w:w="993" w:type="dxa"/>
            <w:vMerge/>
            <w:tcBorders>
              <w:top w:val="single" w:sz="4" w:space="0" w:color="auto"/>
              <w:bottom w:val="single" w:sz="4" w:space="0" w:color="auto"/>
            </w:tcBorders>
          </w:tcPr>
          <w:p w:rsidR="00BA1AFA" w:rsidRDefault="00BA1AFA">
            <w:pPr>
              <w:spacing w:after="1" w:line="0" w:lineRule="atLeast"/>
            </w:pPr>
          </w:p>
        </w:tc>
        <w:tc>
          <w:tcPr>
            <w:tcW w:w="1020" w:type="dxa"/>
            <w:tcBorders>
              <w:top w:val="single" w:sz="4" w:space="0" w:color="auto"/>
              <w:bottom w:val="single" w:sz="4" w:space="0" w:color="auto"/>
            </w:tcBorders>
          </w:tcPr>
          <w:p w:rsidR="00BA1AFA" w:rsidRDefault="00BA1AFA">
            <w:pPr>
              <w:pStyle w:val="ConsPlusNormal"/>
              <w:jc w:val="center"/>
            </w:pPr>
            <w:r>
              <w:t>2014</w:t>
            </w:r>
          </w:p>
        </w:tc>
        <w:tc>
          <w:tcPr>
            <w:tcW w:w="1077" w:type="dxa"/>
            <w:tcBorders>
              <w:top w:val="single" w:sz="4" w:space="0" w:color="auto"/>
              <w:bottom w:val="single" w:sz="4" w:space="0" w:color="auto"/>
            </w:tcBorders>
          </w:tcPr>
          <w:p w:rsidR="00BA1AFA" w:rsidRDefault="00BA1AFA">
            <w:pPr>
              <w:pStyle w:val="ConsPlusNormal"/>
              <w:jc w:val="center"/>
            </w:pPr>
            <w:r>
              <w:t>2015</w:t>
            </w:r>
          </w:p>
        </w:tc>
        <w:tc>
          <w:tcPr>
            <w:tcW w:w="1020" w:type="dxa"/>
            <w:tcBorders>
              <w:top w:val="single" w:sz="4" w:space="0" w:color="auto"/>
              <w:bottom w:val="single" w:sz="4" w:space="0" w:color="auto"/>
            </w:tcBorders>
          </w:tcPr>
          <w:p w:rsidR="00BA1AFA" w:rsidRDefault="00BA1AFA">
            <w:pPr>
              <w:pStyle w:val="ConsPlusNormal"/>
              <w:jc w:val="center"/>
            </w:pPr>
            <w:r>
              <w:t>2016</w:t>
            </w:r>
          </w:p>
        </w:tc>
        <w:tc>
          <w:tcPr>
            <w:tcW w:w="1134" w:type="dxa"/>
            <w:tcBorders>
              <w:top w:val="single" w:sz="4" w:space="0" w:color="auto"/>
              <w:bottom w:val="single" w:sz="4" w:space="0" w:color="auto"/>
            </w:tcBorders>
          </w:tcPr>
          <w:p w:rsidR="00BA1AFA" w:rsidRDefault="00BA1AFA">
            <w:pPr>
              <w:pStyle w:val="ConsPlusNormal"/>
              <w:jc w:val="center"/>
            </w:pPr>
            <w:r>
              <w:t>2017</w:t>
            </w:r>
          </w:p>
        </w:tc>
        <w:tc>
          <w:tcPr>
            <w:tcW w:w="1077" w:type="dxa"/>
            <w:tcBorders>
              <w:top w:val="single" w:sz="4" w:space="0" w:color="auto"/>
              <w:bottom w:val="single" w:sz="4" w:space="0" w:color="auto"/>
            </w:tcBorders>
          </w:tcPr>
          <w:p w:rsidR="00BA1AFA" w:rsidRDefault="00BA1AFA">
            <w:pPr>
              <w:pStyle w:val="ConsPlusNormal"/>
              <w:jc w:val="center"/>
            </w:pPr>
            <w:r>
              <w:t>2018</w:t>
            </w:r>
          </w:p>
        </w:tc>
        <w:tc>
          <w:tcPr>
            <w:tcW w:w="1134" w:type="dxa"/>
            <w:tcBorders>
              <w:top w:val="single" w:sz="4" w:space="0" w:color="auto"/>
              <w:bottom w:val="single" w:sz="4" w:space="0" w:color="auto"/>
            </w:tcBorders>
          </w:tcPr>
          <w:p w:rsidR="00BA1AFA" w:rsidRDefault="00BA1AFA">
            <w:pPr>
              <w:pStyle w:val="ConsPlusNormal"/>
              <w:jc w:val="center"/>
            </w:pPr>
            <w:r>
              <w:t>2019</w:t>
            </w:r>
          </w:p>
        </w:tc>
        <w:tc>
          <w:tcPr>
            <w:tcW w:w="1134" w:type="dxa"/>
            <w:tcBorders>
              <w:top w:val="single" w:sz="4" w:space="0" w:color="auto"/>
              <w:bottom w:val="single" w:sz="4" w:space="0" w:color="auto"/>
            </w:tcBorders>
          </w:tcPr>
          <w:p w:rsidR="00BA1AFA" w:rsidRDefault="00BA1AFA">
            <w:pPr>
              <w:pStyle w:val="ConsPlusNormal"/>
              <w:jc w:val="center"/>
            </w:pPr>
            <w:r>
              <w:t>2020</w:t>
            </w:r>
          </w:p>
        </w:tc>
        <w:tc>
          <w:tcPr>
            <w:tcW w:w="1134" w:type="dxa"/>
            <w:tcBorders>
              <w:top w:val="single" w:sz="4" w:space="0" w:color="auto"/>
              <w:bottom w:val="single" w:sz="4" w:space="0" w:color="auto"/>
            </w:tcBorders>
          </w:tcPr>
          <w:p w:rsidR="00BA1AFA" w:rsidRDefault="00BA1AFA">
            <w:pPr>
              <w:pStyle w:val="ConsPlusNormal"/>
              <w:jc w:val="center"/>
            </w:pPr>
            <w:r>
              <w:t>2021</w:t>
            </w:r>
          </w:p>
        </w:tc>
        <w:tc>
          <w:tcPr>
            <w:tcW w:w="1077" w:type="dxa"/>
            <w:tcBorders>
              <w:top w:val="single" w:sz="4" w:space="0" w:color="auto"/>
              <w:bottom w:val="single" w:sz="4" w:space="0" w:color="auto"/>
            </w:tcBorders>
          </w:tcPr>
          <w:p w:rsidR="00BA1AFA" w:rsidRDefault="00BA1AFA">
            <w:pPr>
              <w:pStyle w:val="ConsPlusNormal"/>
              <w:jc w:val="center"/>
            </w:pPr>
            <w:r>
              <w:t>2022</w:t>
            </w:r>
          </w:p>
        </w:tc>
        <w:tc>
          <w:tcPr>
            <w:tcW w:w="1134" w:type="dxa"/>
            <w:tcBorders>
              <w:top w:val="single" w:sz="4" w:space="0" w:color="auto"/>
              <w:bottom w:val="single" w:sz="4" w:space="0" w:color="auto"/>
            </w:tcBorders>
          </w:tcPr>
          <w:p w:rsidR="00BA1AFA" w:rsidRDefault="00BA1AFA">
            <w:pPr>
              <w:pStyle w:val="ConsPlusNormal"/>
              <w:jc w:val="center"/>
            </w:pPr>
            <w:r>
              <w:t>2023</w:t>
            </w:r>
          </w:p>
        </w:tc>
        <w:tc>
          <w:tcPr>
            <w:tcW w:w="1134" w:type="dxa"/>
            <w:tcBorders>
              <w:top w:val="single" w:sz="4" w:space="0" w:color="auto"/>
              <w:bottom w:val="single" w:sz="4" w:space="0" w:color="auto"/>
            </w:tcBorders>
          </w:tcPr>
          <w:p w:rsidR="00BA1AFA" w:rsidRDefault="00BA1AFA">
            <w:pPr>
              <w:pStyle w:val="ConsPlusNormal"/>
              <w:jc w:val="center"/>
            </w:pPr>
            <w:r>
              <w:t>всего</w:t>
            </w:r>
          </w:p>
        </w:tc>
        <w:tc>
          <w:tcPr>
            <w:tcW w:w="2608" w:type="dxa"/>
            <w:vMerge/>
            <w:tcBorders>
              <w:top w:val="single" w:sz="4" w:space="0" w:color="auto"/>
              <w:bottom w:val="single" w:sz="4" w:space="0" w:color="auto"/>
            </w:tcBorders>
          </w:tcPr>
          <w:p w:rsidR="00BA1AFA" w:rsidRDefault="00BA1AFA">
            <w:pPr>
              <w:spacing w:after="1" w:line="0" w:lineRule="atLeast"/>
            </w:pP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single" w:sz="4" w:space="0" w:color="auto"/>
              <w:left w:val="nil"/>
              <w:bottom w:val="nil"/>
              <w:right w:val="nil"/>
            </w:tcBorders>
          </w:tcPr>
          <w:p w:rsidR="00BA1AFA" w:rsidRDefault="00BA1AFA">
            <w:pPr>
              <w:pStyle w:val="ConsPlusNormal"/>
              <w:jc w:val="center"/>
              <w:outlineLvl w:val="1"/>
            </w:pPr>
            <w:r>
              <w:t>Цель. 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2"/>
            </w:pPr>
            <w:r>
              <w:t>Подпрограмма "Долгосрочная финансовая устойчивость" на 2014 - 2023 годы</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3"/>
            </w:pPr>
            <w:r>
              <w:t>Цель. Обеспечение долгосрочной сбалансированности и устойчивости бюджетной системы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1. Планирование основных параметров областного бюджета с учетом долгосрочного прогноза социально-экономического развития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w:t>
            </w:r>
          </w:p>
        </w:tc>
        <w:tc>
          <w:tcPr>
            <w:tcW w:w="3219" w:type="dxa"/>
            <w:tcBorders>
              <w:top w:val="nil"/>
              <w:left w:val="nil"/>
              <w:bottom w:val="nil"/>
              <w:right w:val="nil"/>
            </w:tcBorders>
          </w:tcPr>
          <w:p w:rsidR="00BA1AFA" w:rsidRDefault="00BA1AFA">
            <w:pPr>
              <w:pStyle w:val="ConsPlusNormal"/>
              <w:jc w:val="both"/>
            </w:pPr>
            <w:r>
              <w:t>Разработка бюджетного прогноза Самарской области</w:t>
            </w:r>
          </w:p>
        </w:tc>
        <w:tc>
          <w:tcPr>
            <w:tcW w:w="1248" w:type="dxa"/>
            <w:tcBorders>
              <w:top w:val="nil"/>
              <w:left w:val="nil"/>
              <w:bottom w:val="nil"/>
              <w:right w:val="nil"/>
            </w:tcBorders>
          </w:tcPr>
          <w:p w:rsidR="00BA1AFA" w:rsidRDefault="00BA1AFA">
            <w:pPr>
              <w:pStyle w:val="ConsPlusNormal"/>
              <w:jc w:val="center"/>
            </w:pPr>
            <w:r>
              <w:t>Министерство управления финансами Самарской области (далее - МУФ СО)</w:t>
            </w:r>
          </w:p>
        </w:tc>
        <w:tc>
          <w:tcPr>
            <w:tcW w:w="993" w:type="dxa"/>
            <w:tcBorders>
              <w:top w:val="nil"/>
              <w:left w:val="nil"/>
              <w:bottom w:val="nil"/>
              <w:right w:val="nil"/>
            </w:tcBorders>
          </w:tcPr>
          <w:p w:rsidR="00BA1AFA" w:rsidRDefault="00BA1AFA">
            <w:pPr>
              <w:pStyle w:val="ConsPlusNormal"/>
              <w:jc w:val="center"/>
            </w:pPr>
            <w:r>
              <w:t>2016</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 xml:space="preserve">Показатель - </w:t>
            </w:r>
            <w:hyperlink r:id="rId16" w:history="1">
              <w:r>
                <w:rPr>
                  <w:color w:val="0000FF"/>
                </w:rPr>
                <w:t>п. 1</w:t>
              </w:r>
            </w:hyperlink>
            <w:r>
              <w:t xml:space="preserve"> приложения 1 к Государственной программе Самарской области "Управление государственными финансами и развитие межбюджетных отношений" на 2014 - 2022 годы (далее - Государственная программа)</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w:t>
            </w:r>
          </w:p>
        </w:tc>
        <w:tc>
          <w:tcPr>
            <w:tcW w:w="3219" w:type="dxa"/>
            <w:tcBorders>
              <w:top w:val="nil"/>
              <w:left w:val="nil"/>
              <w:bottom w:val="nil"/>
              <w:right w:val="nil"/>
            </w:tcBorders>
          </w:tcPr>
          <w:p w:rsidR="00BA1AFA" w:rsidRDefault="00BA1AFA">
            <w:pPr>
              <w:pStyle w:val="ConsPlusNormal"/>
              <w:jc w:val="both"/>
            </w:pPr>
            <w:r>
              <w:t xml:space="preserve">Анализ динамики основных параметров консолидированного бюджета в сравнении с аналогичными показателями субъектов Приволжского федерального </w:t>
            </w:r>
            <w:r>
              <w:lastRenderedPageBreak/>
              <w:t>округа</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2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lastRenderedPageBreak/>
              <w:t>Задача 2. Создание условий для стимулирования развития налогового потенциала</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3.</w:t>
            </w:r>
          </w:p>
        </w:tc>
        <w:tc>
          <w:tcPr>
            <w:tcW w:w="3219" w:type="dxa"/>
            <w:tcBorders>
              <w:top w:val="nil"/>
              <w:left w:val="nil"/>
              <w:bottom w:val="nil"/>
              <w:right w:val="nil"/>
            </w:tcBorders>
          </w:tcPr>
          <w:p w:rsidR="00BA1AFA" w:rsidRDefault="00BA1AFA">
            <w:pPr>
              <w:pStyle w:val="ConsPlusNormal"/>
              <w:jc w:val="both"/>
            </w:pPr>
            <w:r>
              <w:t>Проведение ежегодной оценки эффективности предоставляемых (планируемых к предоставлению) налоговых льгот</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3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4.</w:t>
            </w:r>
          </w:p>
        </w:tc>
        <w:tc>
          <w:tcPr>
            <w:tcW w:w="3219" w:type="dxa"/>
            <w:tcBorders>
              <w:top w:val="nil"/>
              <w:left w:val="nil"/>
              <w:bottom w:val="nil"/>
              <w:right w:val="nil"/>
            </w:tcBorders>
          </w:tcPr>
          <w:p w:rsidR="00BA1AFA" w:rsidRDefault="00BA1AFA">
            <w:pPr>
              <w:pStyle w:val="ConsPlusNormal"/>
              <w:jc w:val="both"/>
            </w:pPr>
            <w:r>
              <w:t>Проведение налоговой политики на территории региона, направленной на повышение налоговых доходов консолидированного бюджета, а также разработка мер по увеличению неналоговых доходов областного и местных бюджетов</w:t>
            </w:r>
          </w:p>
        </w:tc>
        <w:tc>
          <w:tcPr>
            <w:tcW w:w="1248" w:type="dxa"/>
            <w:tcBorders>
              <w:top w:val="nil"/>
              <w:left w:val="nil"/>
              <w:bottom w:val="nil"/>
              <w:right w:val="nil"/>
            </w:tcBorders>
          </w:tcPr>
          <w:p w:rsidR="00BA1AFA" w:rsidRDefault="00BA1AFA">
            <w:pPr>
              <w:pStyle w:val="ConsPlusNormal"/>
              <w:jc w:val="center"/>
            </w:pPr>
            <w:r>
              <w:t>МУФ СО, главные распорядители средств областного бюджета</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3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pPr>
          </w:p>
        </w:tc>
        <w:tc>
          <w:tcPr>
            <w:tcW w:w="3219" w:type="dxa"/>
            <w:tcBorders>
              <w:top w:val="nil"/>
              <w:left w:val="nil"/>
              <w:bottom w:val="nil"/>
              <w:right w:val="nil"/>
            </w:tcBorders>
          </w:tcPr>
          <w:p w:rsidR="00BA1AFA" w:rsidRDefault="00BA1AFA">
            <w:pPr>
              <w:pStyle w:val="ConsPlusNormal"/>
            </w:pPr>
            <w:r>
              <w:t>Итого по подпрограмме</w:t>
            </w:r>
          </w:p>
        </w:tc>
        <w:tc>
          <w:tcPr>
            <w:tcW w:w="1248" w:type="dxa"/>
            <w:tcBorders>
              <w:top w:val="nil"/>
              <w:left w:val="nil"/>
              <w:bottom w:val="nil"/>
              <w:right w:val="nil"/>
            </w:tcBorders>
          </w:tcPr>
          <w:p w:rsidR="00BA1AFA" w:rsidRDefault="00BA1AFA">
            <w:pPr>
              <w:pStyle w:val="ConsPlusNormal"/>
            </w:pPr>
          </w:p>
        </w:tc>
        <w:tc>
          <w:tcPr>
            <w:tcW w:w="993" w:type="dxa"/>
            <w:tcBorders>
              <w:top w:val="nil"/>
              <w:left w:val="nil"/>
              <w:bottom w:val="nil"/>
              <w:right w:val="nil"/>
            </w:tcBorders>
          </w:tcPr>
          <w:p w:rsidR="00BA1AFA" w:rsidRDefault="00BA1AFA">
            <w:pPr>
              <w:pStyle w:val="ConsPlusNormal"/>
            </w:pP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2"/>
            </w:pPr>
            <w:r>
              <w:t>Подпрограмма "Совершенствование управления государственным долгом Самарской области" на 2014 - 2023 годы</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3"/>
            </w:pPr>
            <w:r>
              <w:t>Цель. Повышение эффективности управления государственным долгом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1. Достижение приемлемых объема и структуры государственного долга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w:t>
            </w:r>
          </w:p>
        </w:tc>
        <w:tc>
          <w:tcPr>
            <w:tcW w:w="3219" w:type="dxa"/>
            <w:tcBorders>
              <w:top w:val="nil"/>
              <w:left w:val="nil"/>
              <w:bottom w:val="nil"/>
              <w:right w:val="nil"/>
            </w:tcBorders>
          </w:tcPr>
          <w:p w:rsidR="00BA1AFA" w:rsidRDefault="00BA1AFA">
            <w:pPr>
              <w:pStyle w:val="ConsPlusNormal"/>
              <w:jc w:val="both"/>
            </w:pPr>
            <w:r>
              <w:t>Обеспечение своевременного обслуживания долговых обязательств Самарской области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020" w:type="dxa"/>
            <w:tcBorders>
              <w:top w:val="nil"/>
              <w:left w:val="nil"/>
              <w:bottom w:val="nil"/>
              <w:right w:val="nil"/>
            </w:tcBorders>
          </w:tcPr>
          <w:p w:rsidR="00BA1AFA" w:rsidRDefault="00BA1AFA">
            <w:pPr>
              <w:pStyle w:val="ConsPlusNormal"/>
              <w:jc w:val="center"/>
            </w:pPr>
            <w:r>
              <w:t>3594,7</w:t>
            </w:r>
          </w:p>
        </w:tc>
        <w:tc>
          <w:tcPr>
            <w:tcW w:w="1077" w:type="dxa"/>
            <w:tcBorders>
              <w:top w:val="nil"/>
              <w:left w:val="nil"/>
              <w:bottom w:val="nil"/>
              <w:right w:val="nil"/>
            </w:tcBorders>
          </w:tcPr>
          <w:p w:rsidR="00BA1AFA" w:rsidRDefault="00BA1AFA">
            <w:pPr>
              <w:pStyle w:val="ConsPlusNormal"/>
              <w:jc w:val="center"/>
            </w:pPr>
            <w:r>
              <w:t>4529,8</w:t>
            </w:r>
          </w:p>
        </w:tc>
        <w:tc>
          <w:tcPr>
            <w:tcW w:w="1020" w:type="dxa"/>
            <w:tcBorders>
              <w:top w:val="nil"/>
              <w:left w:val="nil"/>
              <w:bottom w:val="nil"/>
              <w:right w:val="nil"/>
            </w:tcBorders>
          </w:tcPr>
          <w:p w:rsidR="00BA1AFA" w:rsidRDefault="00BA1AFA">
            <w:pPr>
              <w:pStyle w:val="ConsPlusNormal"/>
              <w:jc w:val="center"/>
            </w:pPr>
            <w:r>
              <w:t>5234,7</w:t>
            </w:r>
          </w:p>
        </w:tc>
        <w:tc>
          <w:tcPr>
            <w:tcW w:w="1134" w:type="dxa"/>
            <w:tcBorders>
              <w:top w:val="nil"/>
              <w:left w:val="nil"/>
              <w:bottom w:val="nil"/>
              <w:right w:val="nil"/>
            </w:tcBorders>
          </w:tcPr>
          <w:p w:rsidR="00BA1AFA" w:rsidRDefault="00BA1AFA">
            <w:pPr>
              <w:pStyle w:val="ConsPlusNormal"/>
              <w:jc w:val="center"/>
            </w:pPr>
            <w:r>
              <w:t>4370,0</w:t>
            </w:r>
          </w:p>
        </w:tc>
        <w:tc>
          <w:tcPr>
            <w:tcW w:w="1077" w:type="dxa"/>
            <w:tcBorders>
              <w:top w:val="nil"/>
              <w:left w:val="nil"/>
              <w:bottom w:val="nil"/>
              <w:right w:val="nil"/>
            </w:tcBorders>
          </w:tcPr>
          <w:p w:rsidR="00BA1AFA" w:rsidRDefault="00BA1AFA">
            <w:pPr>
              <w:pStyle w:val="ConsPlusNormal"/>
              <w:jc w:val="center"/>
            </w:pPr>
            <w:r>
              <w:t>3895,3</w:t>
            </w:r>
          </w:p>
        </w:tc>
        <w:tc>
          <w:tcPr>
            <w:tcW w:w="1134" w:type="dxa"/>
            <w:tcBorders>
              <w:top w:val="nil"/>
              <w:left w:val="nil"/>
              <w:bottom w:val="nil"/>
              <w:right w:val="nil"/>
            </w:tcBorders>
          </w:tcPr>
          <w:p w:rsidR="00BA1AFA" w:rsidRDefault="00BA1AFA">
            <w:pPr>
              <w:pStyle w:val="ConsPlusNormal"/>
              <w:jc w:val="center"/>
            </w:pPr>
            <w:r>
              <w:t>3207,7</w:t>
            </w:r>
          </w:p>
        </w:tc>
        <w:tc>
          <w:tcPr>
            <w:tcW w:w="1134" w:type="dxa"/>
            <w:tcBorders>
              <w:top w:val="nil"/>
              <w:left w:val="nil"/>
              <w:bottom w:val="nil"/>
              <w:right w:val="nil"/>
            </w:tcBorders>
          </w:tcPr>
          <w:p w:rsidR="00BA1AFA" w:rsidRDefault="00BA1AFA">
            <w:pPr>
              <w:pStyle w:val="ConsPlusNormal"/>
              <w:jc w:val="center"/>
            </w:pPr>
            <w:r>
              <w:t>2905,6</w:t>
            </w:r>
          </w:p>
        </w:tc>
        <w:tc>
          <w:tcPr>
            <w:tcW w:w="1134" w:type="dxa"/>
            <w:tcBorders>
              <w:top w:val="nil"/>
              <w:left w:val="nil"/>
              <w:bottom w:val="nil"/>
              <w:right w:val="nil"/>
            </w:tcBorders>
          </w:tcPr>
          <w:p w:rsidR="00BA1AFA" w:rsidRDefault="00BA1AFA">
            <w:pPr>
              <w:pStyle w:val="ConsPlusNormal"/>
              <w:jc w:val="center"/>
            </w:pPr>
            <w:r>
              <w:t>3178,3</w:t>
            </w:r>
          </w:p>
        </w:tc>
        <w:tc>
          <w:tcPr>
            <w:tcW w:w="1077" w:type="dxa"/>
            <w:tcBorders>
              <w:top w:val="nil"/>
              <w:left w:val="nil"/>
              <w:bottom w:val="nil"/>
              <w:right w:val="nil"/>
            </w:tcBorders>
          </w:tcPr>
          <w:p w:rsidR="00BA1AFA" w:rsidRDefault="00BA1AFA">
            <w:pPr>
              <w:pStyle w:val="ConsPlusNormal"/>
              <w:jc w:val="center"/>
            </w:pPr>
            <w:r>
              <w:t>3355,0</w:t>
            </w:r>
          </w:p>
        </w:tc>
        <w:tc>
          <w:tcPr>
            <w:tcW w:w="1134" w:type="dxa"/>
            <w:tcBorders>
              <w:top w:val="nil"/>
              <w:left w:val="nil"/>
              <w:bottom w:val="nil"/>
              <w:right w:val="nil"/>
            </w:tcBorders>
          </w:tcPr>
          <w:p w:rsidR="00BA1AFA" w:rsidRDefault="00BA1AFA">
            <w:pPr>
              <w:pStyle w:val="ConsPlusNormal"/>
              <w:jc w:val="center"/>
            </w:pPr>
            <w:r>
              <w:t>3355,0</w:t>
            </w:r>
          </w:p>
        </w:tc>
        <w:tc>
          <w:tcPr>
            <w:tcW w:w="1134" w:type="dxa"/>
            <w:tcBorders>
              <w:top w:val="nil"/>
              <w:left w:val="nil"/>
              <w:bottom w:val="nil"/>
              <w:right w:val="nil"/>
            </w:tcBorders>
          </w:tcPr>
          <w:p w:rsidR="00BA1AFA" w:rsidRDefault="00BA1AFA">
            <w:pPr>
              <w:pStyle w:val="ConsPlusNormal"/>
              <w:jc w:val="center"/>
            </w:pPr>
            <w:r>
              <w:t>37626,1</w:t>
            </w:r>
          </w:p>
        </w:tc>
        <w:tc>
          <w:tcPr>
            <w:tcW w:w="2608" w:type="dxa"/>
            <w:tcBorders>
              <w:top w:val="nil"/>
              <w:left w:val="nil"/>
              <w:bottom w:val="nil"/>
              <w:right w:val="nil"/>
            </w:tcBorders>
          </w:tcPr>
          <w:p w:rsidR="00BA1AFA" w:rsidRDefault="00BA1AFA">
            <w:pPr>
              <w:pStyle w:val="ConsPlusNormal"/>
              <w:jc w:val="both"/>
            </w:pPr>
            <w:r>
              <w:t>Показатель - п. 5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w:t>
            </w:r>
          </w:p>
        </w:tc>
        <w:tc>
          <w:tcPr>
            <w:tcW w:w="3219" w:type="dxa"/>
            <w:tcBorders>
              <w:top w:val="nil"/>
              <w:left w:val="nil"/>
              <w:bottom w:val="nil"/>
              <w:right w:val="nil"/>
            </w:tcBorders>
          </w:tcPr>
          <w:p w:rsidR="00BA1AFA" w:rsidRDefault="00BA1AFA">
            <w:pPr>
              <w:pStyle w:val="ConsPlusNormal"/>
              <w:jc w:val="both"/>
            </w:pPr>
            <w:r>
              <w:t xml:space="preserve">Соблюдение дополнительного ограничения по предельному уровню долговой нагрузки </w:t>
            </w:r>
            <w:r>
              <w:lastRenderedPageBreak/>
              <w:t>Самарской области</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 xml:space="preserve">Показатель - п. 4 приложения 1 к Государственной </w:t>
            </w:r>
            <w:r>
              <w:lastRenderedPageBreak/>
              <w:t>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3.</w:t>
            </w:r>
          </w:p>
        </w:tc>
        <w:tc>
          <w:tcPr>
            <w:tcW w:w="3219" w:type="dxa"/>
            <w:tcBorders>
              <w:top w:val="nil"/>
              <w:left w:val="nil"/>
              <w:bottom w:val="nil"/>
              <w:right w:val="nil"/>
            </w:tcBorders>
          </w:tcPr>
          <w:p w:rsidR="00BA1AFA" w:rsidRDefault="00BA1AFA">
            <w:pPr>
              <w:pStyle w:val="ConsPlusNormal"/>
              <w:jc w:val="both"/>
            </w:pPr>
            <w:r>
              <w:t>Анализ возможностей осуществления новых заимствований и проведение оценки долговой нагрузки на областной бюджет</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4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4.</w:t>
            </w:r>
          </w:p>
        </w:tc>
        <w:tc>
          <w:tcPr>
            <w:tcW w:w="3219" w:type="dxa"/>
            <w:tcBorders>
              <w:top w:val="nil"/>
              <w:left w:val="nil"/>
              <w:bottom w:val="nil"/>
              <w:right w:val="nil"/>
            </w:tcBorders>
          </w:tcPr>
          <w:p w:rsidR="00BA1AFA" w:rsidRDefault="00BA1AFA">
            <w:pPr>
              <w:pStyle w:val="ConsPlusNormal"/>
              <w:jc w:val="both"/>
            </w:pPr>
            <w:r>
              <w:t>Выплата комиссий при осуществлении государственных заимствований</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020" w:type="dxa"/>
            <w:tcBorders>
              <w:top w:val="nil"/>
              <w:left w:val="nil"/>
              <w:bottom w:val="nil"/>
              <w:right w:val="nil"/>
            </w:tcBorders>
          </w:tcPr>
          <w:p w:rsidR="00BA1AFA" w:rsidRDefault="00BA1AFA">
            <w:pPr>
              <w:pStyle w:val="ConsPlusNormal"/>
              <w:jc w:val="center"/>
            </w:pPr>
            <w:r>
              <w:t>9,6</w:t>
            </w:r>
          </w:p>
        </w:tc>
        <w:tc>
          <w:tcPr>
            <w:tcW w:w="1077" w:type="dxa"/>
            <w:tcBorders>
              <w:top w:val="nil"/>
              <w:left w:val="nil"/>
              <w:bottom w:val="nil"/>
              <w:right w:val="nil"/>
            </w:tcBorders>
          </w:tcPr>
          <w:p w:rsidR="00BA1AFA" w:rsidRDefault="00BA1AFA">
            <w:pPr>
              <w:pStyle w:val="ConsPlusNormal"/>
              <w:jc w:val="center"/>
            </w:pPr>
            <w:r>
              <w:t>7,2</w:t>
            </w:r>
          </w:p>
        </w:tc>
        <w:tc>
          <w:tcPr>
            <w:tcW w:w="1020" w:type="dxa"/>
            <w:tcBorders>
              <w:top w:val="nil"/>
              <w:left w:val="nil"/>
              <w:bottom w:val="nil"/>
              <w:right w:val="nil"/>
            </w:tcBorders>
          </w:tcPr>
          <w:p w:rsidR="00BA1AFA" w:rsidRDefault="00BA1AFA">
            <w:pPr>
              <w:pStyle w:val="ConsPlusNormal"/>
              <w:jc w:val="center"/>
            </w:pPr>
            <w:r>
              <w:t>9,8</w:t>
            </w:r>
          </w:p>
        </w:tc>
        <w:tc>
          <w:tcPr>
            <w:tcW w:w="1134" w:type="dxa"/>
            <w:tcBorders>
              <w:top w:val="nil"/>
              <w:left w:val="nil"/>
              <w:bottom w:val="nil"/>
              <w:right w:val="nil"/>
            </w:tcBorders>
          </w:tcPr>
          <w:p w:rsidR="00BA1AFA" w:rsidRDefault="00BA1AFA">
            <w:pPr>
              <w:pStyle w:val="ConsPlusNormal"/>
              <w:jc w:val="center"/>
            </w:pPr>
            <w:r>
              <w:t>12,3</w:t>
            </w:r>
          </w:p>
        </w:tc>
        <w:tc>
          <w:tcPr>
            <w:tcW w:w="1077" w:type="dxa"/>
            <w:tcBorders>
              <w:top w:val="nil"/>
              <w:left w:val="nil"/>
              <w:bottom w:val="nil"/>
              <w:right w:val="nil"/>
            </w:tcBorders>
          </w:tcPr>
          <w:p w:rsidR="00BA1AFA" w:rsidRDefault="00BA1AFA">
            <w:pPr>
              <w:pStyle w:val="ConsPlusNormal"/>
              <w:jc w:val="center"/>
            </w:pPr>
            <w:r>
              <w:t>13,3</w:t>
            </w:r>
          </w:p>
        </w:tc>
        <w:tc>
          <w:tcPr>
            <w:tcW w:w="1134" w:type="dxa"/>
            <w:tcBorders>
              <w:top w:val="nil"/>
              <w:left w:val="nil"/>
              <w:bottom w:val="nil"/>
              <w:right w:val="nil"/>
            </w:tcBorders>
          </w:tcPr>
          <w:p w:rsidR="00BA1AFA" w:rsidRDefault="00BA1AFA">
            <w:pPr>
              <w:pStyle w:val="ConsPlusNormal"/>
              <w:jc w:val="center"/>
            </w:pPr>
            <w:r>
              <w:t>7,7</w:t>
            </w:r>
          </w:p>
        </w:tc>
        <w:tc>
          <w:tcPr>
            <w:tcW w:w="1134" w:type="dxa"/>
            <w:tcBorders>
              <w:top w:val="nil"/>
              <w:left w:val="nil"/>
              <w:bottom w:val="nil"/>
              <w:right w:val="nil"/>
            </w:tcBorders>
          </w:tcPr>
          <w:p w:rsidR="00BA1AFA" w:rsidRDefault="00BA1AFA">
            <w:pPr>
              <w:pStyle w:val="ConsPlusNormal"/>
              <w:jc w:val="center"/>
            </w:pPr>
            <w:r>
              <w:t>7,3</w:t>
            </w:r>
          </w:p>
        </w:tc>
        <w:tc>
          <w:tcPr>
            <w:tcW w:w="1134" w:type="dxa"/>
            <w:tcBorders>
              <w:top w:val="nil"/>
              <w:left w:val="nil"/>
              <w:bottom w:val="nil"/>
              <w:right w:val="nil"/>
            </w:tcBorders>
          </w:tcPr>
          <w:p w:rsidR="00BA1AFA" w:rsidRDefault="00BA1AFA">
            <w:pPr>
              <w:pStyle w:val="ConsPlusNormal"/>
              <w:jc w:val="center"/>
            </w:pPr>
            <w:r>
              <w:t>16,2</w:t>
            </w:r>
          </w:p>
        </w:tc>
        <w:tc>
          <w:tcPr>
            <w:tcW w:w="1077" w:type="dxa"/>
            <w:tcBorders>
              <w:top w:val="nil"/>
              <w:left w:val="nil"/>
              <w:bottom w:val="nil"/>
              <w:right w:val="nil"/>
            </w:tcBorders>
          </w:tcPr>
          <w:p w:rsidR="00BA1AFA" w:rsidRDefault="00BA1AFA">
            <w:pPr>
              <w:pStyle w:val="ConsPlusNormal"/>
              <w:jc w:val="center"/>
            </w:pPr>
            <w:r>
              <w:t>8,1</w:t>
            </w:r>
          </w:p>
        </w:tc>
        <w:tc>
          <w:tcPr>
            <w:tcW w:w="1134" w:type="dxa"/>
            <w:tcBorders>
              <w:top w:val="nil"/>
              <w:left w:val="nil"/>
              <w:bottom w:val="nil"/>
              <w:right w:val="nil"/>
            </w:tcBorders>
          </w:tcPr>
          <w:p w:rsidR="00BA1AFA" w:rsidRDefault="00BA1AFA">
            <w:pPr>
              <w:pStyle w:val="ConsPlusNormal"/>
              <w:jc w:val="center"/>
            </w:pPr>
            <w:r>
              <w:t>9,0</w:t>
            </w:r>
          </w:p>
        </w:tc>
        <w:tc>
          <w:tcPr>
            <w:tcW w:w="1134" w:type="dxa"/>
            <w:tcBorders>
              <w:top w:val="nil"/>
              <w:left w:val="nil"/>
              <w:bottom w:val="nil"/>
              <w:right w:val="nil"/>
            </w:tcBorders>
          </w:tcPr>
          <w:p w:rsidR="00BA1AFA" w:rsidRDefault="00BA1AFA">
            <w:pPr>
              <w:pStyle w:val="ConsPlusNormal"/>
              <w:jc w:val="center"/>
            </w:pPr>
            <w:r>
              <w:t>100,4</w:t>
            </w:r>
          </w:p>
        </w:tc>
        <w:tc>
          <w:tcPr>
            <w:tcW w:w="2608" w:type="dxa"/>
            <w:tcBorders>
              <w:top w:val="nil"/>
              <w:left w:val="nil"/>
              <w:bottom w:val="nil"/>
              <w:right w:val="nil"/>
            </w:tcBorders>
          </w:tcPr>
          <w:p w:rsidR="00BA1AFA" w:rsidRDefault="00BA1AFA">
            <w:pPr>
              <w:pStyle w:val="ConsPlusNormal"/>
              <w:jc w:val="both"/>
            </w:pPr>
            <w:r>
              <w:t>Показатель - п. 6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5.</w:t>
            </w:r>
          </w:p>
        </w:tc>
        <w:tc>
          <w:tcPr>
            <w:tcW w:w="3219" w:type="dxa"/>
            <w:tcBorders>
              <w:top w:val="nil"/>
              <w:left w:val="nil"/>
              <w:bottom w:val="nil"/>
              <w:right w:val="nil"/>
            </w:tcBorders>
          </w:tcPr>
          <w:p w:rsidR="00BA1AFA" w:rsidRDefault="00BA1AFA">
            <w:pPr>
              <w:pStyle w:val="ConsPlusNormal"/>
              <w:jc w:val="both"/>
            </w:pPr>
            <w:r>
              <w:t>Соблюдение дополнительных ограничений на расходы по погашению и обслуживанию государственного долга Самарской области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6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3. Поддержание международных и национального кредитных рейтингов Самарской области на следующих уровнях: ВВ+/Ва2/АА(RU)</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6.</w:t>
            </w:r>
          </w:p>
        </w:tc>
        <w:tc>
          <w:tcPr>
            <w:tcW w:w="3219" w:type="dxa"/>
            <w:tcBorders>
              <w:top w:val="nil"/>
              <w:left w:val="nil"/>
              <w:bottom w:val="nil"/>
              <w:right w:val="nil"/>
            </w:tcBorders>
          </w:tcPr>
          <w:p w:rsidR="00BA1AFA" w:rsidRDefault="00BA1AFA">
            <w:pPr>
              <w:pStyle w:val="ConsPlusNormal"/>
              <w:jc w:val="both"/>
            </w:pPr>
            <w:r>
              <w:t>Взаимодействие с кредитными рейтинговыми агентствами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020" w:type="dxa"/>
            <w:tcBorders>
              <w:top w:val="nil"/>
              <w:left w:val="nil"/>
              <w:bottom w:val="nil"/>
              <w:right w:val="nil"/>
            </w:tcBorders>
          </w:tcPr>
          <w:p w:rsidR="00BA1AFA" w:rsidRDefault="00BA1AFA">
            <w:pPr>
              <w:pStyle w:val="ConsPlusNormal"/>
              <w:jc w:val="center"/>
            </w:pPr>
            <w:r>
              <w:t>2,3</w:t>
            </w:r>
          </w:p>
        </w:tc>
        <w:tc>
          <w:tcPr>
            <w:tcW w:w="1077" w:type="dxa"/>
            <w:tcBorders>
              <w:top w:val="nil"/>
              <w:left w:val="nil"/>
              <w:bottom w:val="nil"/>
              <w:right w:val="nil"/>
            </w:tcBorders>
          </w:tcPr>
          <w:p w:rsidR="00BA1AFA" w:rsidRDefault="00BA1AFA">
            <w:pPr>
              <w:pStyle w:val="ConsPlusNormal"/>
              <w:jc w:val="center"/>
            </w:pPr>
            <w:r>
              <w:t>2,3</w:t>
            </w:r>
          </w:p>
        </w:tc>
        <w:tc>
          <w:tcPr>
            <w:tcW w:w="1020" w:type="dxa"/>
            <w:tcBorders>
              <w:top w:val="nil"/>
              <w:left w:val="nil"/>
              <w:bottom w:val="nil"/>
              <w:right w:val="nil"/>
            </w:tcBorders>
          </w:tcPr>
          <w:p w:rsidR="00BA1AFA" w:rsidRDefault="00BA1AFA">
            <w:pPr>
              <w:pStyle w:val="ConsPlusNormal"/>
              <w:jc w:val="center"/>
            </w:pPr>
            <w:r>
              <w:t>0,9</w:t>
            </w:r>
          </w:p>
        </w:tc>
        <w:tc>
          <w:tcPr>
            <w:tcW w:w="1134" w:type="dxa"/>
            <w:tcBorders>
              <w:top w:val="nil"/>
              <w:left w:val="nil"/>
              <w:bottom w:val="nil"/>
              <w:right w:val="nil"/>
            </w:tcBorders>
          </w:tcPr>
          <w:p w:rsidR="00BA1AFA" w:rsidRDefault="00BA1AFA">
            <w:pPr>
              <w:pStyle w:val="ConsPlusNormal"/>
              <w:jc w:val="center"/>
            </w:pPr>
            <w:r>
              <w:t>1,6</w:t>
            </w:r>
          </w:p>
        </w:tc>
        <w:tc>
          <w:tcPr>
            <w:tcW w:w="1077" w:type="dxa"/>
            <w:tcBorders>
              <w:top w:val="nil"/>
              <w:left w:val="nil"/>
              <w:bottom w:val="nil"/>
              <w:right w:val="nil"/>
            </w:tcBorders>
          </w:tcPr>
          <w:p w:rsidR="00BA1AFA" w:rsidRDefault="00BA1AFA">
            <w:pPr>
              <w:pStyle w:val="ConsPlusNormal"/>
              <w:jc w:val="center"/>
            </w:pPr>
            <w:r>
              <w:t>1,7</w:t>
            </w:r>
          </w:p>
        </w:tc>
        <w:tc>
          <w:tcPr>
            <w:tcW w:w="1134" w:type="dxa"/>
            <w:tcBorders>
              <w:top w:val="nil"/>
              <w:left w:val="nil"/>
              <w:bottom w:val="nil"/>
              <w:right w:val="nil"/>
            </w:tcBorders>
          </w:tcPr>
          <w:p w:rsidR="00BA1AFA" w:rsidRDefault="00BA1AFA">
            <w:pPr>
              <w:pStyle w:val="ConsPlusNormal"/>
              <w:jc w:val="center"/>
            </w:pPr>
            <w:r>
              <w:t>1,7</w:t>
            </w:r>
          </w:p>
        </w:tc>
        <w:tc>
          <w:tcPr>
            <w:tcW w:w="1134" w:type="dxa"/>
            <w:tcBorders>
              <w:top w:val="nil"/>
              <w:left w:val="nil"/>
              <w:bottom w:val="nil"/>
              <w:right w:val="nil"/>
            </w:tcBorders>
          </w:tcPr>
          <w:p w:rsidR="00BA1AFA" w:rsidRDefault="00BA1AFA">
            <w:pPr>
              <w:pStyle w:val="ConsPlusNormal"/>
              <w:jc w:val="center"/>
            </w:pPr>
            <w:r>
              <w:t>1,7</w:t>
            </w:r>
          </w:p>
        </w:tc>
        <w:tc>
          <w:tcPr>
            <w:tcW w:w="1134" w:type="dxa"/>
            <w:tcBorders>
              <w:top w:val="nil"/>
              <w:left w:val="nil"/>
              <w:bottom w:val="nil"/>
              <w:right w:val="nil"/>
            </w:tcBorders>
          </w:tcPr>
          <w:p w:rsidR="00BA1AFA" w:rsidRDefault="00BA1AFA">
            <w:pPr>
              <w:pStyle w:val="ConsPlusNormal"/>
              <w:jc w:val="center"/>
            </w:pPr>
            <w:r>
              <w:t>1,7</w:t>
            </w:r>
          </w:p>
        </w:tc>
        <w:tc>
          <w:tcPr>
            <w:tcW w:w="1077" w:type="dxa"/>
            <w:tcBorders>
              <w:top w:val="nil"/>
              <w:left w:val="nil"/>
              <w:bottom w:val="nil"/>
              <w:right w:val="nil"/>
            </w:tcBorders>
          </w:tcPr>
          <w:p w:rsidR="00BA1AFA" w:rsidRDefault="00BA1AFA">
            <w:pPr>
              <w:pStyle w:val="ConsPlusNormal"/>
              <w:jc w:val="center"/>
            </w:pPr>
            <w:r>
              <w:t>1,7</w:t>
            </w:r>
          </w:p>
        </w:tc>
        <w:tc>
          <w:tcPr>
            <w:tcW w:w="1134" w:type="dxa"/>
            <w:tcBorders>
              <w:top w:val="nil"/>
              <w:left w:val="nil"/>
              <w:bottom w:val="nil"/>
              <w:right w:val="nil"/>
            </w:tcBorders>
          </w:tcPr>
          <w:p w:rsidR="00BA1AFA" w:rsidRDefault="00BA1AFA">
            <w:pPr>
              <w:pStyle w:val="ConsPlusNormal"/>
              <w:jc w:val="center"/>
            </w:pPr>
            <w:r>
              <w:t>1,7</w:t>
            </w:r>
          </w:p>
        </w:tc>
        <w:tc>
          <w:tcPr>
            <w:tcW w:w="1134" w:type="dxa"/>
            <w:tcBorders>
              <w:top w:val="nil"/>
              <w:left w:val="nil"/>
              <w:bottom w:val="nil"/>
              <w:right w:val="nil"/>
            </w:tcBorders>
          </w:tcPr>
          <w:p w:rsidR="00BA1AFA" w:rsidRDefault="00BA1AFA">
            <w:pPr>
              <w:pStyle w:val="ConsPlusNormal"/>
              <w:jc w:val="center"/>
            </w:pPr>
            <w:r>
              <w:t>17,3</w:t>
            </w:r>
          </w:p>
        </w:tc>
        <w:tc>
          <w:tcPr>
            <w:tcW w:w="2608" w:type="dxa"/>
            <w:tcBorders>
              <w:top w:val="nil"/>
              <w:left w:val="nil"/>
              <w:bottom w:val="nil"/>
              <w:right w:val="nil"/>
            </w:tcBorders>
          </w:tcPr>
          <w:p w:rsidR="00BA1AFA" w:rsidRDefault="00BA1AFA">
            <w:pPr>
              <w:pStyle w:val="ConsPlusNormal"/>
              <w:jc w:val="both"/>
            </w:pPr>
            <w:r>
              <w:t>Показатель - п. 7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pPr>
          </w:p>
        </w:tc>
        <w:tc>
          <w:tcPr>
            <w:tcW w:w="3219" w:type="dxa"/>
            <w:tcBorders>
              <w:top w:val="nil"/>
              <w:left w:val="nil"/>
              <w:bottom w:val="nil"/>
              <w:right w:val="nil"/>
            </w:tcBorders>
          </w:tcPr>
          <w:p w:rsidR="00BA1AFA" w:rsidRDefault="00BA1AFA">
            <w:pPr>
              <w:pStyle w:val="ConsPlusNormal"/>
            </w:pPr>
            <w:r>
              <w:t>Итого по подпрограмме</w:t>
            </w:r>
          </w:p>
        </w:tc>
        <w:tc>
          <w:tcPr>
            <w:tcW w:w="1248" w:type="dxa"/>
            <w:tcBorders>
              <w:top w:val="nil"/>
              <w:left w:val="nil"/>
              <w:bottom w:val="nil"/>
              <w:right w:val="nil"/>
            </w:tcBorders>
          </w:tcPr>
          <w:p w:rsidR="00BA1AFA" w:rsidRDefault="00BA1AFA">
            <w:pPr>
              <w:pStyle w:val="ConsPlusNormal"/>
            </w:pPr>
          </w:p>
        </w:tc>
        <w:tc>
          <w:tcPr>
            <w:tcW w:w="993" w:type="dxa"/>
            <w:tcBorders>
              <w:top w:val="nil"/>
              <w:left w:val="nil"/>
              <w:bottom w:val="nil"/>
              <w:right w:val="nil"/>
            </w:tcBorders>
          </w:tcPr>
          <w:p w:rsidR="00BA1AFA" w:rsidRDefault="00BA1AFA">
            <w:pPr>
              <w:pStyle w:val="ConsPlusNormal"/>
            </w:pPr>
          </w:p>
        </w:tc>
        <w:tc>
          <w:tcPr>
            <w:tcW w:w="1020" w:type="dxa"/>
            <w:tcBorders>
              <w:top w:val="nil"/>
              <w:left w:val="nil"/>
              <w:bottom w:val="nil"/>
              <w:right w:val="nil"/>
            </w:tcBorders>
          </w:tcPr>
          <w:p w:rsidR="00BA1AFA" w:rsidRDefault="00BA1AFA">
            <w:pPr>
              <w:pStyle w:val="ConsPlusNormal"/>
              <w:jc w:val="center"/>
            </w:pPr>
            <w:r>
              <w:t>3606,6</w:t>
            </w:r>
          </w:p>
        </w:tc>
        <w:tc>
          <w:tcPr>
            <w:tcW w:w="1077" w:type="dxa"/>
            <w:tcBorders>
              <w:top w:val="nil"/>
              <w:left w:val="nil"/>
              <w:bottom w:val="nil"/>
              <w:right w:val="nil"/>
            </w:tcBorders>
          </w:tcPr>
          <w:p w:rsidR="00BA1AFA" w:rsidRDefault="00BA1AFA">
            <w:pPr>
              <w:pStyle w:val="ConsPlusNormal"/>
              <w:jc w:val="center"/>
            </w:pPr>
            <w:r>
              <w:t>4539,4</w:t>
            </w:r>
          </w:p>
        </w:tc>
        <w:tc>
          <w:tcPr>
            <w:tcW w:w="1020" w:type="dxa"/>
            <w:tcBorders>
              <w:top w:val="nil"/>
              <w:left w:val="nil"/>
              <w:bottom w:val="nil"/>
              <w:right w:val="nil"/>
            </w:tcBorders>
          </w:tcPr>
          <w:p w:rsidR="00BA1AFA" w:rsidRDefault="00BA1AFA">
            <w:pPr>
              <w:pStyle w:val="ConsPlusNormal"/>
              <w:jc w:val="center"/>
            </w:pPr>
            <w:r>
              <w:t>5245,4</w:t>
            </w:r>
          </w:p>
        </w:tc>
        <w:tc>
          <w:tcPr>
            <w:tcW w:w="1134" w:type="dxa"/>
            <w:tcBorders>
              <w:top w:val="nil"/>
              <w:left w:val="nil"/>
              <w:bottom w:val="nil"/>
              <w:right w:val="nil"/>
            </w:tcBorders>
          </w:tcPr>
          <w:p w:rsidR="00BA1AFA" w:rsidRDefault="00BA1AFA">
            <w:pPr>
              <w:pStyle w:val="ConsPlusNormal"/>
              <w:jc w:val="center"/>
            </w:pPr>
            <w:r>
              <w:t>4383,9</w:t>
            </w:r>
          </w:p>
        </w:tc>
        <w:tc>
          <w:tcPr>
            <w:tcW w:w="1077" w:type="dxa"/>
            <w:tcBorders>
              <w:top w:val="nil"/>
              <w:left w:val="nil"/>
              <w:bottom w:val="nil"/>
              <w:right w:val="nil"/>
            </w:tcBorders>
          </w:tcPr>
          <w:p w:rsidR="00BA1AFA" w:rsidRDefault="00BA1AFA">
            <w:pPr>
              <w:pStyle w:val="ConsPlusNormal"/>
              <w:jc w:val="center"/>
            </w:pPr>
            <w:r>
              <w:t>3910,3</w:t>
            </w:r>
          </w:p>
        </w:tc>
        <w:tc>
          <w:tcPr>
            <w:tcW w:w="1134" w:type="dxa"/>
            <w:tcBorders>
              <w:top w:val="nil"/>
              <w:left w:val="nil"/>
              <w:bottom w:val="nil"/>
              <w:right w:val="nil"/>
            </w:tcBorders>
          </w:tcPr>
          <w:p w:rsidR="00BA1AFA" w:rsidRDefault="00BA1AFA">
            <w:pPr>
              <w:pStyle w:val="ConsPlusNormal"/>
              <w:jc w:val="center"/>
            </w:pPr>
            <w:r>
              <w:t>3217,1</w:t>
            </w:r>
          </w:p>
        </w:tc>
        <w:tc>
          <w:tcPr>
            <w:tcW w:w="1134" w:type="dxa"/>
            <w:tcBorders>
              <w:top w:val="nil"/>
              <w:left w:val="nil"/>
              <w:bottom w:val="nil"/>
              <w:right w:val="nil"/>
            </w:tcBorders>
          </w:tcPr>
          <w:p w:rsidR="00BA1AFA" w:rsidRDefault="00BA1AFA">
            <w:pPr>
              <w:pStyle w:val="ConsPlusNormal"/>
              <w:jc w:val="center"/>
            </w:pPr>
            <w:r>
              <w:t>2914,6</w:t>
            </w:r>
          </w:p>
        </w:tc>
        <w:tc>
          <w:tcPr>
            <w:tcW w:w="1134" w:type="dxa"/>
            <w:tcBorders>
              <w:top w:val="nil"/>
              <w:left w:val="nil"/>
              <w:bottom w:val="nil"/>
              <w:right w:val="nil"/>
            </w:tcBorders>
          </w:tcPr>
          <w:p w:rsidR="00BA1AFA" w:rsidRDefault="00BA1AFA">
            <w:pPr>
              <w:pStyle w:val="ConsPlusNormal"/>
              <w:jc w:val="center"/>
            </w:pPr>
            <w:r>
              <w:t>3196,2</w:t>
            </w:r>
          </w:p>
        </w:tc>
        <w:tc>
          <w:tcPr>
            <w:tcW w:w="1077" w:type="dxa"/>
            <w:tcBorders>
              <w:top w:val="nil"/>
              <w:left w:val="nil"/>
              <w:bottom w:val="nil"/>
              <w:right w:val="nil"/>
            </w:tcBorders>
          </w:tcPr>
          <w:p w:rsidR="00BA1AFA" w:rsidRDefault="00BA1AFA">
            <w:pPr>
              <w:pStyle w:val="ConsPlusNormal"/>
              <w:jc w:val="center"/>
            </w:pPr>
            <w:r>
              <w:t>3364,8</w:t>
            </w:r>
          </w:p>
        </w:tc>
        <w:tc>
          <w:tcPr>
            <w:tcW w:w="1134" w:type="dxa"/>
            <w:tcBorders>
              <w:top w:val="nil"/>
              <w:left w:val="nil"/>
              <w:bottom w:val="nil"/>
              <w:right w:val="nil"/>
            </w:tcBorders>
          </w:tcPr>
          <w:p w:rsidR="00BA1AFA" w:rsidRDefault="00BA1AFA">
            <w:pPr>
              <w:pStyle w:val="ConsPlusNormal"/>
              <w:jc w:val="center"/>
            </w:pPr>
            <w:r>
              <w:t>3365,7</w:t>
            </w:r>
          </w:p>
        </w:tc>
        <w:tc>
          <w:tcPr>
            <w:tcW w:w="1134" w:type="dxa"/>
            <w:tcBorders>
              <w:top w:val="nil"/>
              <w:left w:val="nil"/>
              <w:bottom w:val="nil"/>
              <w:right w:val="nil"/>
            </w:tcBorders>
          </w:tcPr>
          <w:p w:rsidR="00BA1AFA" w:rsidRDefault="00BA1AFA">
            <w:pPr>
              <w:pStyle w:val="ConsPlusNormal"/>
              <w:jc w:val="center"/>
            </w:pPr>
            <w:r>
              <w:t>37743,8</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2"/>
            </w:pPr>
            <w:r>
              <w:t>Подпрограмма "Внутрирегиональные межбюджетные отношения" на 2014 - 2023 годы</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3"/>
            </w:pPr>
            <w:r>
              <w:t>Цель. 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1.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1.</w:t>
            </w:r>
          </w:p>
        </w:tc>
        <w:tc>
          <w:tcPr>
            <w:tcW w:w="3219" w:type="dxa"/>
            <w:tcBorders>
              <w:top w:val="nil"/>
              <w:left w:val="nil"/>
              <w:bottom w:val="nil"/>
              <w:right w:val="nil"/>
            </w:tcBorders>
          </w:tcPr>
          <w:p w:rsidR="00BA1AFA" w:rsidRDefault="00BA1AFA">
            <w:pPr>
              <w:pStyle w:val="ConsPlusNormal"/>
              <w:jc w:val="both"/>
            </w:pPr>
            <w: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w:t>
            </w:r>
          </w:p>
        </w:tc>
        <w:tc>
          <w:tcPr>
            <w:tcW w:w="1020" w:type="dxa"/>
            <w:tcBorders>
              <w:top w:val="nil"/>
              <w:left w:val="nil"/>
              <w:bottom w:val="nil"/>
              <w:right w:val="nil"/>
            </w:tcBorders>
          </w:tcPr>
          <w:p w:rsidR="00BA1AFA" w:rsidRDefault="00BA1AFA">
            <w:pPr>
              <w:pStyle w:val="ConsPlusNormal"/>
              <w:jc w:val="center"/>
            </w:pPr>
            <w:r>
              <w:t>4162,2</w:t>
            </w:r>
          </w:p>
        </w:tc>
        <w:tc>
          <w:tcPr>
            <w:tcW w:w="1077" w:type="dxa"/>
            <w:tcBorders>
              <w:top w:val="nil"/>
              <w:left w:val="nil"/>
              <w:bottom w:val="nil"/>
              <w:right w:val="nil"/>
            </w:tcBorders>
          </w:tcPr>
          <w:p w:rsidR="00BA1AFA" w:rsidRDefault="00BA1AFA">
            <w:pPr>
              <w:pStyle w:val="ConsPlusNormal"/>
              <w:jc w:val="center"/>
            </w:pPr>
            <w:r>
              <w:t>0,0</w:t>
            </w:r>
          </w:p>
        </w:tc>
        <w:tc>
          <w:tcPr>
            <w:tcW w:w="1020"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077"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077"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4162,2</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w:t>
            </w:r>
          </w:p>
        </w:tc>
        <w:tc>
          <w:tcPr>
            <w:tcW w:w="3219" w:type="dxa"/>
            <w:tcBorders>
              <w:top w:val="nil"/>
              <w:left w:val="nil"/>
              <w:bottom w:val="nil"/>
              <w:right w:val="nil"/>
            </w:tcBorders>
          </w:tcPr>
          <w:p w:rsidR="00BA1AFA" w:rsidRDefault="00BA1AFA">
            <w:pPr>
              <w:pStyle w:val="ConsPlusNormal"/>
              <w:jc w:val="both"/>
            </w:pPr>
            <w:r>
              <w:t>Обеспечение сбалансированности местных бюджетов с учетом стимулирования социально-экономического развития муниципальных образований</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2015 - 2023</w:t>
            </w:r>
          </w:p>
        </w:tc>
        <w:tc>
          <w:tcPr>
            <w:tcW w:w="1020" w:type="dxa"/>
            <w:tcBorders>
              <w:top w:val="nil"/>
              <w:left w:val="nil"/>
              <w:bottom w:val="nil"/>
              <w:right w:val="nil"/>
            </w:tcBorders>
          </w:tcPr>
          <w:p w:rsidR="00BA1AFA" w:rsidRDefault="00BA1AFA">
            <w:pPr>
              <w:pStyle w:val="ConsPlusNormal"/>
              <w:jc w:val="center"/>
            </w:pPr>
            <w:r>
              <w:t>0,0</w:t>
            </w:r>
          </w:p>
        </w:tc>
        <w:tc>
          <w:tcPr>
            <w:tcW w:w="1077" w:type="dxa"/>
            <w:tcBorders>
              <w:top w:val="nil"/>
              <w:left w:val="nil"/>
              <w:bottom w:val="nil"/>
              <w:right w:val="nil"/>
            </w:tcBorders>
          </w:tcPr>
          <w:p w:rsidR="00BA1AFA" w:rsidRDefault="00BA1AFA">
            <w:pPr>
              <w:pStyle w:val="ConsPlusNormal"/>
              <w:jc w:val="center"/>
            </w:pPr>
            <w:r>
              <w:t>3997,5</w:t>
            </w:r>
          </w:p>
        </w:tc>
        <w:tc>
          <w:tcPr>
            <w:tcW w:w="1020" w:type="dxa"/>
            <w:tcBorders>
              <w:top w:val="nil"/>
              <w:left w:val="nil"/>
              <w:bottom w:val="nil"/>
              <w:right w:val="nil"/>
            </w:tcBorders>
          </w:tcPr>
          <w:p w:rsidR="00BA1AFA" w:rsidRDefault="00BA1AFA">
            <w:pPr>
              <w:pStyle w:val="ConsPlusNormal"/>
              <w:jc w:val="center"/>
            </w:pPr>
            <w:r>
              <w:t>3448,9</w:t>
            </w:r>
          </w:p>
        </w:tc>
        <w:tc>
          <w:tcPr>
            <w:tcW w:w="1134" w:type="dxa"/>
            <w:tcBorders>
              <w:top w:val="nil"/>
              <w:left w:val="nil"/>
              <w:bottom w:val="nil"/>
              <w:right w:val="nil"/>
            </w:tcBorders>
          </w:tcPr>
          <w:p w:rsidR="00BA1AFA" w:rsidRDefault="00BA1AFA">
            <w:pPr>
              <w:pStyle w:val="ConsPlusNormal"/>
              <w:jc w:val="center"/>
            </w:pPr>
            <w:r>
              <w:t>3171,0</w:t>
            </w:r>
          </w:p>
        </w:tc>
        <w:tc>
          <w:tcPr>
            <w:tcW w:w="1077" w:type="dxa"/>
            <w:tcBorders>
              <w:top w:val="nil"/>
              <w:left w:val="nil"/>
              <w:bottom w:val="nil"/>
              <w:right w:val="nil"/>
            </w:tcBorders>
          </w:tcPr>
          <w:p w:rsidR="00BA1AFA" w:rsidRDefault="00BA1AFA">
            <w:pPr>
              <w:pStyle w:val="ConsPlusNormal"/>
              <w:jc w:val="center"/>
            </w:pPr>
            <w:r>
              <w:t>3644,4</w:t>
            </w:r>
          </w:p>
        </w:tc>
        <w:tc>
          <w:tcPr>
            <w:tcW w:w="1134" w:type="dxa"/>
            <w:tcBorders>
              <w:top w:val="nil"/>
              <w:left w:val="nil"/>
              <w:bottom w:val="nil"/>
              <w:right w:val="nil"/>
            </w:tcBorders>
          </w:tcPr>
          <w:p w:rsidR="00BA1AFA" w:rsidRDefault="00BA1AFA">
            <w:pPr>
              <w:pStyle w:val="ConsPlusNormal"/>
              <w:jc w:val="center"/>
            </w:pPr>
            <w:r>
              <w:t>3562,0</w:t>
            </w:r>
          </w:p>
        </w:tc>
        <w:tc>
          <w:tcPr>
            <w:tcW w:w="1134" w:type="dxa"/>
            <w:tcBorders>
              <w:top w:val="nil"/>
              <w:left w:val="nil"/>
              <w:bottom w:val="nil"/>
              <w:right w:val="nil"/>
            </w:tcBorders>
          </w:tcPr>
          <w:p w:rsidR="00BA1AFA" w:rsidRDefault="00BA1AFA">
            <w:pPr>
              <w:pStyle w:val="ConsPlusNormal"/>
              <w:jc w:val="center"/>
            </w:pPr>
            <w:r>
              <w:t>4035,8</w:t>
            </w:r>
          </w:p>
        </w:tc>
        <w:tc>
          <w:tcPr>
            <w:tcW w:w="1134" w:type="dxa"/>
            <w:tcBorders>
              <w:top w:val="nil"/>
              <w:left w:val="nil"/>
              <w:bottom w:val="nil"/>
              <w:right w:val="nil"/>
            </w:tcBorders>
          </w:tcPr>
          <w:p w:rsidR="00BA1AFA" w:rsidRDefault="00BA1AFA">
            <w:pPr>
              <w:pStyle w:val="ConsPlusNormal"/>
              <w:jc w:val="center"/>
            </w:pPr>
            <w:r>
              <w:t>4080,8</w:t>
            </w:r>
          </w:p>
        </w:tc>
        <w:tc>
          <w:tcPr>
            <w:tcW w:w="1077" w:type="dxa"/>
            <w:tcBorders>
              <w:top w:val="nil"/>
              <w:left w:val="nil"/>
              <w:bottom w:val="nil"/>
              <w:right w:val="nil"/>
            </w:tcBorders>
          </w:tcPr>
          <w:p w:rsidR="00BA1AFA" w:rsidRDefault="00BA1AFA">
            <w:pPr>
              <w:pStyle w:val="ConsPlusNormal"/>
              <w:jc w:val="center"/>
            </w:pPr>
            <w:r>
              <w:t>0</w:t>
            </w:r>
          </w:p>
        </w:tc>
        <w:tc>
          <w:tcPr>
            <w:tcW w:w="1134" w:type="dxa"/>
            <w:tcBorders>
              <w:top w:val="nil"/>
              <w:left w:val="nil"/>
              <w:bottom w:val="nil"/>
              <w:right w:val="nil"/>
            </w:tcBorders>
          </w:tcPr>
          <w:p w:rsidR="00BA1AFA" w:rsidRDefault="00BA1AFA">
            <w:pPr>
              <w:pStyle w:val="ConsPlusNormal"/>
              <w:jc w:val="center"/>
            </w:pPr>
            <w:r>
              <w:t>0</w:t>
            </w:r>
          </w:p>
        </w:tc>
        <w:tc>
          <w:tcPr>
            <w:tcW w:w="1134" w:type="dxa"/>
            <w:tcBorders>
              <w:top w:val="nil"/>
              <w:left w:val="nil"/>
              <w:bottom w:val="nil"/>
              <w:right w:val="nil"/>
            </w:tcBorders>
          </w:tcPr>
          <w:p w:rsidR="00BA1AFA" w:rsidRDefault="00BA1AFA">
            <w:pPr>
              <w:pStyle w:val="ConsPlusNormal"/>
              <w:jc w:val="center"/>
            </w:pPr>
            <w:r>
              <w:t>25940,5</w:t>
            </w:r>
          </w:p>
        </w:tc>
        <w:tc>
          <w:tcPr>
            <w:tcW w:w="2608" w:type="dxa"/>
            <w:tcBorders>
              <w:top w:val="nil"/>
              <w:left w:val="nil"/>
              <w:bottom w:val="nil"/>
              <w:right w:val="nil"/>
            </w:tcBorders>
          </w:tcPr>
          <w:p w:rsidR="00BA1AFA" w:rsidRDefault="00BA1AFA">
            <w:pPr>
              <w:pStyle w:val="ConsPlusNormal"/>
              <w:jc w:val="both"/>
            </w:pPr>
            <w:r>
              <w:t>Показатель - п. 9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3.</w:t>
            </w:r>
          </w:p>
        </w:tc>
        <w:tc>
          <w:tcPr>
            <w:tcW w:w="3219" w:type="dxa"/>
            <w:tcBorders>
              <w:top w:val="nil"/>
              <w:left w:val="nil"/>
              <w:bottom w:val="nil"/>
              <w:right w:val="nil"/>
            </w:tcBorders>
          </w:tcPr>
          <w:p w:rsidR="00BA1AFA" w:rsidRDefault="00BA1AFA">
            <w:pPr>
              <w:pStyle w:val="ConsPlusNormal"/>
              <w:jc w:val="both"/>
            </w:pPr>
            <w:r>
              <w:t>Обеспечение сокращения дифференциации муниципальных образований по уровню их бюджетной обеспеченности и сбалансированности местных бюджетов</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020" w:type="dxa"/>
            <w:tcBorders>
              <w:top w:val="nil"/>
              <w:left w:val="nil"/>
              <w:bottom w:val="nil"/>
              <w:right w:val="nil"/>
            </w:tcBorders>
          </w:tcPr>
          <w:p w:rsidR="00BA1AFA" w:rsidRDefault="00BA1AFA">
            <w:pPr>
              <w:pStyle w:val="ConsPlusNormal"/>
              <w:jc w:val="center"/>
            </w:pPr>
            <w:r>
              <w:t>1944,9</w:t>
            </w:r>
          </w:p>
        </w:tc>
        <w:tc>
          <w:tcPr>
            <w:tcW w:w="1077" w:type="dxa"/>
            <w:tcBorders>
              <w:top w:val="nil"/>
              <w:left w:val="nil"/>
              <w:bottom w:val="nil"/>
              <w:right w:val="nil"/>
            </w:tcBorders>
          </w:tcPr>
          <w:p w:rsidR="00BA1AFA" w:rsidRDefault="00BA1AFA">
            <w:pPr>
              <w:pStyle w:val="ConsPlusNormal"/>
              <w:jc w:val="center"/>
            </w:pPr>
            <w:r>
              <w:t>1944,9</w:t>
            </w:r>
          </w:p>
        </w:tc>
        <w:tc>
          <w:tcPr>
            <w:tcW w:w="1020" w:type="dxa"/>
            <w:tcBorders>
              <w:top w:val="nil"/>
              <w:left w:val="nil"/>
              <w:bottom w:val="nil"/>
              <w:right w:val="nil"/>
            </w:tcBorders>
          </w:tcPr>
          <w:p w:rsidR="00BA1AFA" w:rsidRDefault="00BA1AFA">
            <w:pPr>
              <w:pStyle w:val="ConsPlusNormal"/>
              <w:jc w:val="center"/>
            </w:pPr>
            <w:r>
              <w:t>1945,0</w:t>
            </w:r>
          </w:p>
        </w:tc>
        <w:tc>
          <w:tcPr>
            <w:tcW w:w="1134" w:type="dxa"/>
            <w:tcBorders>
              <w:top w:val="nil"/>
              <w:left w:val="nil"/>
              <w:bottom w:val="nil"/>
              <w:right w:val="nil"/>
            </w:tcBorders>
          </w:tcPr>
          <w:p w:rsidR="00BA1AFA" w:rsidRDefault="00BA1AFA">
            <w:pPr>
              <w:pStyle w:val="ConsPlusNormal"/>
              <w:jc w:val="center"/>
            </w:pPr>
            <w:r>
              <w:t>1945,1</w:t>
            </w:r>
          </w:p>
        </w:tc>
        <w:tc>
          <w:tcPr>
            <w:tcW w:w="1077" w:type="dxa"/>
            <w:tcBorders>
              <w:top w:val="nil"/>
              <w:left w:val="nil"/>
              <w:bottom w:val="nil"/>
              <w:right w:val="nil"/>
            </w:tcBorders>
          </w:tcPr>
          <w:p w:rsidR="00BA1AFA" w:rsidRDefault="00BA1AFA">
            <w:pPr>
              <w:pStyle w:val="ConsPlusNormal"/>
              <w:jc w:val="center"/>
            </w:pPr>
            <w:r>
              <w:t>1945,5</w:t>
            </w:r>
          </w:p>
        </w:tc>
        <w:tc>
          <w:tcPr>
            <w:tcW w:w="1134" w:type="dxa"/>
            <w:tcBorders>
              <w:top w:val="nil"/>
              <w:left w:val="nil"/>
              <w:bottom w:val="nil"/>
              <w:right w:val="nil"/>
            </w:tcBorders>
          </w:tcPr>
          <w:p w:rsidR="00BA1AFA" w:rsidRDefault="00BA1AFA">
            <w:pPr>
              <w:pStyle w:val="ConsPlusNormal"/>
              <w:jc w:val="center"/>
            </w:pPr>
            <w:r>
              <w:t>1945,5</w:t>
            </w:r>
          </w:p>
        </w:tc>
        <w:tc>
          <w:tcPr>
            <w:tcW w:w="1134" w:type="dxa"/>
            <w:tcBorders>
              <w:top w:val="nil"/>
              <w:left w:val="nil"/>
              <w:bottom w:val="nil"/>
              <w:right w:val="nil"/>
            </w:tcBorders>
          </w:tcPr>
          <w:p w:rsidR="00BA1AFA" w:rsidRDefault="00BA1AFA">
            <w:pPr>
              <w:pStyle w:val="ConsPlusNormal"/>
              <w:jc w:val="center"/>
            </w:pPr>
            <w:r>
              <w:t>2455,5</w:t>
            </w:r>
          </w:p>
        </w:tc>
        <w:tc>
          <w:tcPr>
            <w:tcW w:w="1134" w:type="dxa"/>
            <w:tcBorders>
              <w:top w:val="nil"/>
              <w:left w:val="nil"/>
              <w:bottom w:val="nil"/>
              <w:right w:val="nil"/>
            </w:tcBorders>
          </w:tcPr>
          <w:p w:rsidR="00BA1AFA" w:rsidRDefault="00BA1AFA">
            <w:pPr>
              <w:pStyle w:val="ConsPlusNormal"/>
              <w:jc w:val="center"/>
            </w:pPr>
            <w:r>
              <w:t>1911,8</w:t>
            </w:r>
          </w:p>
        </w:tc>
        <w:tc>
          <w:tcPr>
            <w:tcW w:w="1077" w:type="dxa"/>
            <w:tcBorders>
              <w:top w:val="nil"/>
              <w:left w:val="nil"/>
              <w:bottom w:val="nil"/>
              <w:right w:val="nil"/>
            </w:tcBorders>
          </w:tcPr>
          <w:p w:rsidR="00BA1AFA" w:rsidRDefault="00BA1AFA">
            <w:pPr>
              <w:pStyle w:val="ConsPlusNormal"/>
              <w:jc w:val="center"/>
            </w:pPr>
            <w:r>
              <w:t>911,4</w:t>
            </w:r>
          </w:p>
        </w:tc>
        <w:tc>
          <w:tcPr>
            <w:tcW w:w="1134" w:type="dxa"/>
            <w:tcBorders>
              <w:top w:val="nil"/>
              <w:left w:val="nil"/>
              <w:bottom w:val="nil"/>
              <w:right w:val="nil"/>
            </w:tcBorders>
          </w:tcPr>
          <w:p w:rsidR="00BA1AFA" w:rsidRDefault="00BA1AFA">
            <w:pPr>
              <w:pStyle w:val="ConsPlusNormal"/>
              <w:jc w:val="center"/>
            </w:pPr>
            <w:r>
              <w:t>911,4</w:t>
            </w:r>
          </w:p>
        </w:tc>
        <w:tc>
          <w:tcPr>
            <w:tcW w:w="1134" w:type="dxa"/>
            <w:tcBorders>
              <w:top w:val="nil"/>
              <w:left w:val="nil"/>
              <w:bottom w:val="nil"/>
              <w:right w:val="nil"/>
            </w:tcBorders>
          </w:tcPr>
          <w:p w:rsidR="00BA1AFA" w:rsidRDefault="00BA1AFA">
            <w:pPr>
              <w:pStyle w:val="ConsPlusNormal"/>
              <w:jc w:val="center"/>
            </w:pPr>
            <w:r>
              <w:t>17861,0</w:t>
            </w:r>
          </w:p>
        </w:tc>
        <w:tc>
          <w:tcPr>
            <w:tcW w:w="2608" w:type="dxa"/>
            <w:tcBorders>
              <w:top w:val="nil"/>
              <w:left w:val="nil"/>
              <w:bottom w:val="nil"/>
              <w:right w:val="nil"/>
            </w:tcBorders>
          </w:tcPr>
          <w:p w:rsidR="00BA1AFA" w:rsidRDefault="00BA1AFA">
            <w:pPr>
              <w:pStyle w:val="ConsPlusNormal"/>
              <w:jc w:val="both"/>
            </w:pPr>
            <w:r>
              <w:t>Показатель - п. 8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2. Повышение эффективности управления муниципальными финансами</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4.</w:t>
            </w:r>
          </w:p>
        </w:tc>
        <w:tc>
          <w:tcPr>
            <w:tcW w:w="3219" w:type="dxa"/>
            <w:tcBorders>
              <w:top w:val="nil"/>
              <w:left w:val="nil"/>
              <w:bottom w:val="nil"/>
              <w:right w:val="nil"/>
            </w:tcBorders>
          </w:tcPr>
          <w:p w:rsidR="00BA1AFA" w:rsidRDefault="00BA1AFA">
            <w:pPr>
              <w:pStyle w:val="ConsPlusNormal"/>
              <w:jc w:val="both"/>
            </w:pPr>
            <w:r>
              <w:t>Создание стимулирующих условий для повышения качества управления муниципальными финансами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020" w:type="dxa"/>
            <w:tcBorders>
              <w:top w:val="nil"/>
              <w:left w:val="nil"/>
              <w:bottom w:val="nil"/>
              <w:right w:val="nil"/>
            </w:tcBorders>
          </w:tcPr>
          <w:p w:rsidR="00BA1AFA" w:rsidRDefault="00BA1AFA">
            <w:pPr>
              <w:pStyle w:val="ConsPlusNormal"/>
              <w:jc w:val="center"/>
            </w:pPr>
            <w:r>
              <w:t>325,0</w:t>
            </w:r>
          </w:p>
        </w:tc>
        <w:tc>
          <w:tcPr>
            <w:tcW w:w="1077" w:type="dxa"/>
            <w:tcBorders>
              <w:top w:val="nil"/>
              <w:left w:val="nil"/>
              <w:bottom w:val="nil"/>
              <w:right w:val="nil"/>
            </w:tcBorders>
          </w:tcPr>
          <w:p w:rsidR="00BA1AFA" w:rsidRDefault="00BA1AFA">
            <w:pPr>
              <w:pStyle w:val="ConsPlusNormal"/>
              <w:jc w:val="center"/>
            </w:pPr>
            <w:r>
              <w:t>175,0</w:t>
            </w:r>
          </w:p>
        </w:tc>
        <w:tc>
          <w:tcPr>
            <w:tcW w:w="1020" w:type="dxa"/>
            <w:tcBorders>
              <w:top w:val="nil"/>
              <w:left w:val="nil"/>
              <w:bottom w:val="nil"/>
              <w:right w:val="nil"/>
            </w:tcBorders>
          </w:tcPr>
          <w:p w:rsidR="00BA1AFA" w:rsidRDefault="00BA1AFA">
            <w:pPr>
              <w:pStyle w:val="ConsPlusNormal"/>
              <w:jc w:val="center"/>
            </w:pPr>
            <w:r>
              <w:t>177,2</w:t>
            </w:r>
          </w:p>
        </w:tc>
        <w:tc>
          <w:tcPr>
            <w:tcW w:w="1134" w:type="dxa"/>
            <w:tcBorders>
              <w:top w:val="nil"/>
              <w:left w:val="nil"/>
              <w:bottom w:val="nil"/>
              <w:right w:val="nil"/>
            </w:tcBorders>
          </w:tcPr>
          <w:p w:rsidR="00BA1AFA" w:rsidRDefault="00BA1AFA">
            <w:pPr>
              <w:pStyle w:val="ConsPlusNormal"/>
              <w:jc w:val="center"/>
            </w:pPr>
            <w:r>
              <w:t>51,4</w:t>
            </w:r>
          </w:p>
        </w:tc>
        <w:tc>
          <w:tcPr>
            <w:tcW w:w="1077" w:type="dxa"/>
            <w:tcBorders>
              <w:top w:val="nil"/>
              <w:left w:val="nil"/>
              <w:bottom w:val="nil"/>
              <w:right w:val="nil"/>
            </w:tcBorders>
          </w:tcPr>
          <w:p w:rsidR="00BA1AFA" w:rsidRDefault="00BA1AFA">
            <w:pPr>
              <w:pStyle w:val="ConsPlusNormal"/>
              <w:jc w:val="center"/>
            </w:pPr>
            <w:r>
              <w:t>50,0</w:t>
            </w:r>
          </w:p>
        </w:tc>
        <w:tc>
          <w:tcPr>
            <w:tcW w:w="1134" w:type="dxa"/>
            <w:tcBorders>
              <w:top w:val="nil"/>
              <w:left w:val="nil"/>
              <w:bottom w:val="nil"/>
              <w:right w:val="nil"/>
            </w:tcBorders>
          </w:tcPr>
          <w:p w:rsidR="00BA1AFA" w:rsidRDefault="00BA1AFA">
            <w:pPr>
              <w:pStyle w:val="ConsPlusNormal"/>
              <w:jc w:val="center"/>
            </w:pPr>
            <w:r>
              <w:t>52,8</w:t>
            </w:r>
          </w:p>
        </w:tc>
        <w:tc>
          <w:tcPr>
            <w:tcW w:w="1134" w:type="dxa"/>
            <w:tcBorders>
              <w:top w:val="nil"/>
              <w:left w:val="nil"/>
              <w:bottom w:val="nil"/>
              <w:right w:val="nil"/>
            </w:tcBorders>
          </w:tcPr>
          <w:p w:rsidR="00BA1AFA" w:rsidRDefault="00BA1AFA">
            <w:pPr>
              <w:pStyle w:val="ConsPlusNormal"/>
              <w:jc w:val="center"/>
            </w:pPr>
            <w:r>
              <w:t>60,0</w:t>
            </w:r>
          </w:p>
        </w:tc>
        <w:tc>
          <w:tcPr>
            <w:tcW w:w="1134" w:type="dxa"/>
            <w:tcBorders>
              <w:top w:val="nil"/>
              <w:left w:val="nil"/>
              <w:bottom w:val="nil"/>
              <w:right w:val="nil"/>
            </w:tcBorders>
          </w:tcPr>
          <w:p w:rsidR="00BA1AFA" w:rsidRDefault="00BA1AFA">
            <w:pPr>
              <w:pStyle w:val="ConsPlusNormal"/>
              <w:jc w:val="center"/>
            </w:pPr>
            <w:r>
              <w:t>47,5</w:t>
            </w:r>
          </w:p>
        </w:tc>
        <w:tc>
          <w:tcPr>
            <w:tcW w:w="1077" w:type="dxa"/>
            <w:tcBorders>
              <w:top w:val="nil"/>
              <w:left w:val="nil"/>
              <w:bottom w:val="nil"/>
              <w:right w:val="nil"/>
            </w:tcBorders>
          </w:tcPr>
          <w:p w:rsidR="00BA1AFA" w:rsidRDefault="00BA1AFA">
            <w:pPr>
              <w:pStyle w:val="ConsPlusNormal"/>
              <w:jc w:val="center"/>
            </w:pPr>
            <w:r>
              <w:t>42,5</w:t>
            </w:r>
          </w:p>
        </w:tc>
        <w:tc>
          <w:tcPr>
            <w:tcW w:w="1134" w:type="dxa"/>
            <w:tcBorders>
              <w:top w:val="nil"/>
              <w:left w:val="nil"/>
              <w:bottom w:val="nil"/>
              <w:right w:val="nil"/>
            </w:tcBorders>
          </w:tcPr>
          <w:p w:rsidR="00BA1AFA" w:rsidRDefault="00BA1AFA">
            <w:pPr>
              <w:pStyle w:val="ConsPlusNormal"/>
              <w:jc w:val="center"/>
            </w:pPr>
            <w:r>
              <w:t>42,5</w:t>
            </w:r>
          </w:p>
        </w:tc>
        <w:tc>
          <w:tcPr>
            <w:tcW w:w="1134" w:type="dxa"/>
            <w:tcBorders>
              <w:top w:val="nil"/>
              <w:left w:val="nil"/>
              <w:bottom w:val="nil"/>
              <w:right w:val="nil"/>
            </w:tcBorders>
          </w:tcPr>
          <w:p w:rsidR="00BA1AFA" w:rsidRDefault="00BA1AFA">
            <w:pPr>
              <w:pStyle w:val="ConsPlusNormal"/>
              <w:jc w:val="center"/>
            </w:pPr>
            <w:r>
              <w:t>1023,8</w:t>
            </w:r>
          </w:p>
        </w:tc>
        <w:tc>
          <w:tcPr>
            <w:tcW w:w="2608" w:type="dxa"/>
            <w:tcBorders>
              <w:top w:val="nil"/>
              <w:left w:val="nil"/>
              <w:bottom w:val="nil"/>
              <w:right w:val="nil"/>
            </w:tcBorders>
          </w:tcPr>
          <w:p w:rsidR="00BA1AFA" w:rsidRDefault="00BA1AFA">
            <w:pPr>
              <w:pStyle w:val="ConsPlusNormal"/>
              <w:jc w:val="both"/>
            </w:pPr>
            <w:r>
              <w:t>Показатели: п. 10, 11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5.</w:t>
            </w:r>
          </w:p>
        </w:tc>
        <w:tc>
          <w:tcPr>
            <w:tcW w:w="3219" w:type="dxa"/>
            <w:tcBorders>
              <w:top w:val="nil"/>
              <w:left w:val="nil"/>
              <w:bottom w:val="nil"/>
              <w:right w:val="nil"/>
            </w:tcBorders>
          </w:tcPr>
          <w:p w:rsidR="00BA1AFA" w:rsidRDefault="00BA1AFA">
            <w:pPr>
              <w:pStyle w:val="ConsPlusNormal"/>
              <w:jc w:val="both"/>
            </w:pPr>
            <w:r>
              <w:t xml:space="preserve">Направление в адрес органов местного самоуправления информации, отнесенной к </w:t>
            </w:r>
            <w:r>
              <w:lastRenderedPageBreak/>
              <w:t>компетенции МУФ СО, необходимой для своевременного формирования решений о местных бюджетах</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 xml:space="preserve">Показатели: п. 12, 13 приложения 1 к Государственной </w:t>
            </w:r>
            <w:r>
              <w:lastRenderedPageBreak/>
              <w:t>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pPr>
          </w:p>
        </w:tc>
        <w:tc>
          <w:tcPr>
            <w:tcW w:w="3219" w:type="dxa"/>
            <w:tcBorders>
              <w:top w:val="nil"/>
              <w:left w:val="nil"/>
              <w:bottom w:val="nil"/>
              <w:right w:val="nil"/>
            </w:tcBorders>
          </w:tcPr>
          <w:p w:rsidR="00BA1AFA" w:rsidRDefault="00BA1AFA">
            <w:pPr>
              <w:pStyle w:val="ConsPlusNormal"/>
              <w:jc w:val="both"/>
            </w:pPr>
            <w:r>
              <w:t>Итого по подпрограмме</w:t>
            </w:r>
          </w:p>
        </w:tc>
        <w:tc>
          <w:tcPr>
            <w:tcW w:w="1248" w:type="dxa"/>
            <w:tcBorders>
              <w:top w:val="nil"/>
              <w:left w:val="nil"/>
              <w:bottom w:val="nil"/>
              <w:right w:val="nil"/>
            </w:tcBorders>
          </w:tcPr>
          <w:p w:rsidR="00BA1AFA" w:rsidRDefault="00BA1AFA">
            <w:pPr>
              <w:pStyle w:val="ConsPlusNormal"/>
            </w:pPr>
          </w:p>
        </w:tc>
        <w:tc>
          <w:tcPr>
            <w:tcW w:w="993" w:type="dxa"/>
            <w:tcBorders>
              <w:top w:val="nil"/>
              <w:left w:val="nil"/>
              <w:bottom w:val="nil"/>
              <w:right w:val="nil"/>
            </w:tcBorders>
          </w:tcPr>
          <w:p w:rsidR="00BA1AFA" w:rsidRDefault="00BA1AFA">
            <w:pPr>
              <w:pStyle w:val="ConsPlusNormal"/>
            </w:pPr>
          </w:p>
        </w:tc>
        <w:tc>
          <w:tcPr>
            <w:tcW w:w="1020" w:type="dxa"/>
            <w:tcBorders>
              <w:top w:val="nil"/>
              <w:left w:val="nil"/>
              <w:bottom w:val="nil"/>
              <w:right w:val="nil"/>
            </w:tcBorders>
          </w:tcPr>
          <w:p w:rsidR="00BA1AFA" w:rsidRDefault="00BA1AFA">
            <w:pPr>
              <w:pStyle w:val="ConsPlusNormal"/>
              <w:jc w:val="center"/>
            </w:pPr>
            <w:r>
              <w:t>6432,2</w:t>
            </w:r>
          </w:p>
        </w:tc>
        <w:tc>
          <w:tcPr>
            <w:tcW w:w="1077" w:type="dxa"/>
            <w:tcBorders>
              <w:top w:val="nil"/>
              <w:left w:val="nil"/>
              <w:bottom w:val="nil"/>
              <w:right w:val="nil"/>
            </w:tcBorders>
          </w:tcPr>
          <w:p w:rsidR="00BA1AFA" w:rsidRDefault="00BA1AFA">
            <w:pPr>
              <w:pStyle w:val="ConsPlusNormal"/>
              <w:jc w:val="center"/>
            </w:pPr>
            <w:r>
              <w:t>6117,4</w:t>
            </w:r>
          </w:p>
        </w:tc>
        <w:tc>
          <w:tcPr>
            <w:tcW w:w="1020" w:type="dxa"/>
            <w:tcBorders>
              <w:top w:val="nil"/>
              <w:left w:val="nil"/>
              <w:bottom w:val="nil"/>
              <w:right w:val="nil"/>
            </w:tcBorders>
          </w:tcPr>
          <w:p w:rsidR="00BA1AFA" w:rsidRDefault="00BA1AFA">
            <w:pPr>
              <w:pStyle w:val="ConsPlusNormal"/>
              <w:jc w:val="center"/>
            </w:pPr>
            <w:r>
              <w:t>5571,2</w:t>
            </w:r>
          </w:p>
        </w:tc>
        <w:tc>
          <w:tcPr>
            <w:tcW w:w="1134" w:type="dxa"/>
            <w:tcBorders>
              <w:top w:val="nil"/>
              <w:left w:val="nil"/>
              <w:bottom w:val="nil"/>
              <w:right w:val="nil"/>
            </w:tcBorders>
          </w:tcPr>
          <w:p w:rsidR="00BA1AFA" w:rsidRDefault="00BA1AFA">
            <w:pPr>
              <w:pStyle w:val="ConsPlusNormal"/>
              <w:jc w:val="center"/>
            </w:pPr>
            <w:r>
              <w:t>5167,5</w:t>
            </w:r>
          </w:p>
        </w:tc>
        <w:tc>
          <w:tcPr>
            <w:tcW w:w="1077" w:type="dxa"/>
            <w:tcBorders>
              <w:top w:val="nil"/>
              <w:left w:val="nil"/>
              <w:bottom w:val="nil"/>
              <w:right w:val="nil"/>
            </w:tcBorders>
          </w:tcPr>
          <w:p w:rsidR="00BA1AFA" w:rsidRDefault="00BA1AFA">
            <w:pPr>
              <w:pStyle w:val="ConsPlusNormal"/>
              <w:jc w:val="center"/>
            </w:pPr>
            <w:r>
              <w:t>5640,0</w:t>
            </w:r>
          </w:p>
        </w:tc>
        <w:tc>
          <w:tcPr>
            <w:tcW w:w="1134" w:type="dxa"/>
            <w:tcBorders>
              <w:top w:val="nil"/>
              <w:left w:val="nil"/>
              <w:bottom w:val="nil"/>
              <w:right w:val="nil"/>
            </w:tcBorders>
          </w:tcPr>
          <w:p w:rsidR="00BA1AFA" w:rsidRDefault="00BA1AFA">
            <w:pPr>
              <w:pStyle w:val="ConsPlusNormal"/>
              <w:jc w:val="center"/>
            </w:pPr>
            <w:r>
              <w:t>5560,3</w:t>
            </w:r>
          </w:p>
        </w:tc>
        <w:tc>
          <w:tcPr>
            <w:tcW w:w="1134" w:type="dxa"/>
            <w:tcBorders>
              <w:top w:val="nil"/>
              <w:left w:val="nil"/>
              <w:bottom w:val="nil"/>
              <w:right w:val="nil"/>
            </w:tcBorders>
          </w:tcPr>
          <w:p w:rsidR="00BA1AFA" w:rsidRDefault="00BA1AFA">
            <w:pPr>
              <w:pStyle w:val="ConsPlusNormal"/>
              <w:jc w:val="center"/>
            </w:pPr>
            <w:r>
              <w:t>6551,3</w:t>
            </w:r>
          </w:p>
        </w:tc>
        <w:tc>
          <w:tcPr>
            <w:tcW w:w="1134" w:type="dxa"/>
            <w:tcBorders>
              <w:top w:val="nil"/>
              <w:left w:val="nil"/>
              <w:bottom w:val="nil"/>
              <w:right w:val="nil"/>
            </w:tcBorders>
          </w:tcPr>
          <w:p w:rsidR="00BA1AFA" w:rsidRDefault="00BA1AFA">
            <w:pPr>
              <w:pStyle w:val="ConsPlusNormal"/>
              <w:jc w:val="center"/>
            </w:pPr>
            <w:r>
              <w:t>6040,1</w:t>
            </w:r>
          </w:p>
        </w:tc>
        <w:tc>
          <w:tcPr>
            <w:tcW w:w="1077" w:type="dxa"/>
            <w:tcBorders>
              <w:top w:val="nil"/>
              <w:left w:val="nil"/>
              <w:bottom w:val="nil"/>
              <w:right w:val="nil"/>
            </w:tcBorders>
          </w:tcPr>
          <w:p w:rsidR="00BA1AFA" w:rsidRDefault="00BA1AFA">
            <w:pPr>
              <w:pStyle w:val="ConsPlusNormal"/>
              <w:jc w:val="center"/>
            </w:pPr>
            <w:r>
              <w:t>953,9</w:t>
            </w:r>
          </w:p>
        </w:tc>
        <w:tc>
          <w:tcPr>
            <w:tcW w:w="1134" w:type="dxa"/>
            <w:tcBorders>
              <w:top w:val="nil"/>
              <w:left w:val="nil"/>
              <w:bottom w:val="nil"/>
              <w:right w:val="nil"/>
            </w:tcBorders>
          </w:tcPr>
          <w:p w:rsidR="00BA1AFA" w:rsidRDefault="00BA1AFA">
            <w:pPr>
              <w:pStyle w:val="ConsPlusNormal"/>
              <w:jc w:val="center"/>
            </w:pPr>
            <w:r>
              <w:t>953,9</w:t>
            </w:r>
          </w:p>
        </w:tc>
        <w:tc>
          <w:tcPr>
            <w:tcW w:w="1134" w:type="dxa"/>
            <w:tcBorders>
              <w:top w:val="nil"/>
              <w:left w:val="nil"/>
              <w:bottom w:val="nil"/>
              <w:right w:val="nil"/>
            </w:tcBorders>
          </w:tcPr>
          <w:p w:rsidR="00BA1AFA" w:rsidRDefault="00BA1AFA">
            <w:pPr>
              <w:pStyle w:val="ConsPlusNormal"/>
              <w:jc w:val="center"/>
            </w:pPr>
            <w:r>
              <w:t>48987,6</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Подпрограмма "Организация планирования и исполнения областного бюджета" на 2014 - 2023 годы</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3"/>
            </w:pPr>
            <w:r>
              <w:t>Цель. Нормативно-методическое обеспечение и оптимизация технологических процессов формирования и исполнения областного бюджета</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w:t>
            </w:r>
          </w:p>
        </w:tc>
        <w:tc>
          <w:tcPr>
            <w:tcW w:w="3219" w:type="dxa"/>
            <w:tcBorders>
              <w:top w:val="nil"/>
              <w:left w:val="nil"/>
              <w:bottom w:val="nil"/>
              <w:right w:val="nil"/>
            </w:tcBorders>
          </w:tcPr>
          <w:p w:rsidR="00BA1AFA" w:rsidRDefault="00BA1AFA">
            <w:pPr>
              <w:pStyle w:val="ConsPlusNormal"/>
              <w:jc w:val="both"/>
            </w:pPr>
            <w:r>
              <w:t>Обеспечение бюджетного процесса</w:t>
            </w:r>
          </w:p>
        </w:tc>
        <w:tc>
          <w:tcPr>
            <w:tcW w:w="1248" w:type="dxa"/>
            <w:tcBorders>
              <w:top w:val="nil"/>
              <w:left w:val="nil"/>
              <w:bottom w:val="nil"/>
              <w:right w:val="nil"/>
            </w:tcBorders>
          </w:tcPr>
          <w:p w:rsidR="00BA1AFA" w:rsidRDefault="00BA1AFA">
            <w:pPr>
              <w:pStyle w:val="ConsPlusNormal"/>
              <w:jc w:val="center"/>
            </w:pPr>
            <w:r>
              <w:t>МУФ СО, государственная инспекция финансового контроля Самарской области</w:t>
            </w:r>
          </w:p>
        </w:tc>
        <w:tc>
          <w:tcPr>
            <w:tcW w:w="993" w:type="dxa"/>
            <w:tcBorders>
              <w:top w:val="nil"/>
              <w:left w:val="nil"/>
              <w:bottom w:val="nil"/>
              <w:right w:val="nil"/>
            </w:tcBorders>
          </w:tcPr>
          <w:p w:rsidR="00BA1AFA" w:rsidRDefault="00BA1AFA">
            <w:pPr>
              <w:pStyle w:val="ConsPlusNormal"/>
              <w:jc w:val="center"/>
            </w:pPr>
            <w:r>
              <w:t>2014 - 2023</w:t>
            </w:r>
          </w:p>
        </w:tc>
        <w:tc>
          <w:tcPr>
            <w:tcW w:w="1020" w:type="dxa"/>
            <w:tcBorders>
              <w:top w:val="nil"/>
              <w:left w:val="nil"/>
              <w:bottom w:val="nil"/>
              <w:right w:val="nil"/>
            </w:tcBorders>
          </w:tcPr>
          <w:p w:rsidR="00BA1AFA" w:rsidRDefault="00BA1AFA">
            <w:pPr>
              <w:pStyle w:val="ConsPlusNormal"/>
              <w:jc w:val="center"/>
            </w:pPr>
            <w:r>
              <w:t>349,9</w:t>
            </w:r>
          </w:p>
        </w:tc>
        <w:tc>
          <w:tcPr>
            <w:tcW w:w="1077" w:type="dxa"/>
            <w:tcBorders>
              <w:top w:val="nil"/>
              <w:left w:val="nil"/>
              <w:bottom w:val="nil"/>
              <w:right w:val="nil"/>
            </w:tcBorders>
          </w:tcPr>
          <w:p w:rsidR="00BA1AFA" w:rsidRDefault="00BA1AFA">
            <w:pPr>
              <w:pStyle w:val="ConsPlusNormal"/>
              <w:jc w:val="center"/>
            </w:pPr>
            <w:r>
              <w:t>299,9</w:t>
            </w:r>
          </w:p>
        </w:tc>
        <w:tc>
          <w:tcPr>
            <w:tcW w:w="1020" w:type="dxa"/>
            <w:tcBorders>
              <w:top w:val="nil"/>
              <w:left w:val="nil"/>
              <w:bottom w:val="nil"/>
              <w:right w:val="nil"/>
            </w:tcBorders>
          </w:tcPr>
          <w:p w:rsidR="00BA1AFA" w:rsidRDefault="00BA1AFA">
            <w:pPr>
              <w:pStyle w:val="ConsPlusNormal"/>
              <w:jc w:val="center"/>
            </w:pPr>
            <w:r>
              <w:t>310,5</w:t>
            </w:r>
          </w:p>
        </w:tc>
        <w:tc>
          <w:tcPr>
            <w:tcW w:w="1134" w:type="dxa"/>
            <w:tcBorders>
              <w:top w:val="nil"/>
              <w:left w:val="nil"/>
              <w:bottom w:val="nil"/>
              <w:right w:val="nil"/>
            </w:tcBorders>
          </w:tcPr>
          <w:p w:rsidR="00BA1AFA" w:rsidRDefault="00BA1AFA">
            <w:pPr>
              <w:pStyle w:val="ConsPlusNormal"/>
              <w:jc w:val="center"/>
            </w:pPr>
            <w:r>
              <w:t>301,8</w:t>
            </w:r>
          </w:p>
        </w:tc>
        <w:tc>
          <w:tcPr>
            <w:tcW w:w="1077" w:type="dxa"/>
            <w:tcBorders>
              <w:top w:val="nil"/>
              <w:left w:val="nil"/>
              <w:bottom w:val="nil"/>
              <w:right w:val="nil"/>
            </w:tcBorders>
          </w:tcPr>
          <w:p w:rsidR="00BA1AFA" w:rsidRDefault="00BA1AFA">
            <w:pPr>
              <w:pStyle w:val="ConsPlusNormal"/>
              <w:jc w:val="center"/>
            </w:pPr>
            <w:r>
              <w:t>338,9</w:t>
            </w:r>
          </w:p>
        </w:tc>
        <w:tc>
          <w:tcPr>
            <w:tcW w:w="1134" w:type="dxa"/>
            <w:tcBorders>
              <w:top w:val="nil"/>
              <w:left w:val="nil"/>
              <w:bottom w:val="nil"/>
              <w:right w:val="nil"/>
            </w:tcBorders>
          </w:tcPr>
          <w:p w:rsidR="00BA1AFA" w:rsidRDefault="00BA1AFA">
            <w:pPr>
              <w:pStyle w:val="ConsPlusNormal"/>
              <w:jc w:val="center"/>
            </w:pPr>
            <w:r>
              <w:t>378,2</w:t>
            </w:r>
          </w:p>
        </w:tc>
        <w:tc>
          <w:tcPr>
            <w:tcW w:w="1134" w:type="dxa"/>
            <w:tcBorders>
              <w:top w:val="nil"/>
              <w:left w:val="nil"/>
              <w:bottom w:val="nil"/>
              <w:right w:val="nil"/>
            </w:tcBorders>
          </w:tcPr>
          <w:p w:rsidR="00BA1AFA" w:rsidRDefault="00BA1AFA">
            <w:pPr>
              <w:pStyle w:val="ConsPlusNormal"/>
              <w:jc w:val="center"/>
            </w:pPr>
            <w:r>
              <w:t>398,2</w:t>
            </w:r>
          </w:p>
        </w:tc>
        <w:tc>
          <w:tcPr>
            <w:tcW w:w="1134" w:type="dxa"/>
            <w:tcBorders>
              <w:top w:val="nil"/>
              <w:left w:val="nil"/>
              <w:bottom w:val="nil"/>
              <w:right w:val="nil"/>
            </w:tcBorders>
          </w:tcPr>
          <w:p w:rsidR="00BA1AFA" w:rsidRDefault="00BA1AFA">
            <w:pPr>
              <w:pStyle w:val="ConsPlusNormal"/>
              <w:jc w:val="center"/>
            </w:pPr>
            <w:r>
              <w:t>404,9</w:t>
            </w:r>
          </w:p>
        </w:tc>
        <w:tc>
          <w:tcPr>
            <w:tcW w:w="1077" w:type="dxa"/>
            <w:tcBorders>
              <w:top w:val="nil"/>
              <w:left w:val="nil"/>
              <w:bottom w:val="nil"/>
              <w:right w:val="nil"/>
            </w:tcBorders>
          </w:tcPr>
          <w:p w:rsidR="00BA1AFA" w:rsidRDefault="00BA1AFA">
            <w:pPr>
              <w:pStyle w:val="ConsPlusNormal"/>
              <w:jc w:val="center"/>
            </w:pPr>
            <w:r>
              <w:t>405,0</w:t>
            </w:r>
          </w:p>
        </w:tc>
        <w:tc>
          <w:tcPr>
            <w:tcW w:w="1134" w:type="dxa"/>
            <w:tcBorders>
              <w:top w:val="nil"/>
              <w:left w:val="nil"/>
              <w:bottom w:val="nil"/>
              <w:right w:val="nil"/>
            </w:tcBorders>
          </w:tcPr>
          <w:p w:rsidR="00BA1AFA" w:rsidRDefault="00BA1AFA">
            <w:pPr>
              <w:pStyle w:val="ConsPlusNormal"/>
              <w:jc w:val="center"/>
            </w:pPr>
            <w:r>
              <w:t>405,1</w:t>
            </w:r>
          </w:p>
        </w:tc>
        <w:tc>
          <w:tcPr>
            <w:tcW w:w="1134" w:type="dxa"/>
            <w:tcBorders>
              <w:top w:val="nil"/>
              <w:left w:val="nil"/>
              <w:bottom w:val="nil"/>
              <w:right w:val="nil"/>
            </w:tcBorders>
          </w:tcPr>
          <w:p w:rsidR="00BA1AFA" w:rsidRDefault="00BA1AFA">
            <w:pPr>
              <w:pStyle w:val="ConsPlusNormal"/>
              <w:jc w:val="center"/>
            </w:pPr>
            <w:r>
              <w:t>3592,3</w:t>
            </w:r>
          </w:p>
        </w:tc>
        <w:tc>
          <w:tcPr>
            <w:tcW w:w="2608" w:type="dxa"/>
            <w:tcBorders>
              <w:top w:val="nil"/>
              <w:left w:val="nil"/>
              <w:bottom w:val="nil"/>
              <w:right w:val="nil"/>
            </w:tcBorders>
          </w:tcPr>
          <w:p w:rsidR="00BA1AFA" w:rsidRDefault="00BA1AFA">
            <w:pPr>
              <w:pStyle w:val="ConsPlusNormal"/>
              <w:jc w:val="both"/>
            </w:pPr>
            <w:r>
              <w:t>Показатель - п. 14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1. Соблюдение норм, установленных бюджетным законодательством</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w:t>
            </w:r>
          </w:p>
        </w:tc>
        <w:tc>
          <w:tcPr>
            <w:tcW w:w="3219" w:type="dxa"/>
            <w:tcBorders>
              <w:top w:val="nil"/>
              <w:left w:val="nil"/>
              <w:bottom w:val="nil"/>
              <w:right w:val="nil"/>
            </w:tcBorders>
          </w:tcPr>
          <w:p w:rsidR="00BA1AFA" w:rsidRDefault="00BA1AFA">
            <w:pPr>
              <w:pStyle w:val="ConsPlusNormal"/>
              <w:jc w:val="both"/>
            </w:pPr>
            <w:r>
              <w:t>Своевременная и качественная подготовка проекта областного бюджета на очередной финансовый год и плановый период и внесение изменений в закон об областном бюджете на очередной финансовый год и плановый период</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14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3.</w:t>
            </w:r>
          </w:p>
        </w:tc>
        <w:tc>
          <w:tcPr>
            <w:tcW w:w="3219" w:type="dxa"/>
            <w:tcBorders>
              <w:top w:val="nil"/>
              <w:left w:val="nil"/>
              <w:bottom w:val="nil"/>
              <w:right w:val="nil"/>
            </w:tcBorders>
          </w:tcPr>
          <w:p w:rsidR="00BA1AFA" w:rsidRDefault="00BA1AFA">
            <w:pPr>
              <w:pStyle w:val="ConsPlusNormal"/>
              <w:jc w:val="both"/>
            </w:pPr>
            <w:r>
              <w:t>Формирование и ведение реестра расходных обязательств Самарской области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14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4.</w:t>
            </w:r>
          </w:p>
        </w:tc>
        <w:tc>
          <w:tcPr>
            <w:tcW w:w="3219" w:type="dxa"/>
            <w:tcBorders>
              <w:top w:val="nil"/>
              <w:left w:val="nil"/>
              <w:bottom w:val="nil"/>
              <w:right w:val="nil"/>
            </w:tcBorders>
          </w:tcPr>
          <w:p w:rsidR="00BA1AFA" w:rsidRDefault="00BA1AFA">
            <w:pPr>
              <w:pStyle w:val="ConsPlusNormal"/>
              <w:jc w:val="both"/>
            </w:pPr>
            <w:r>
              <w:t>Проведение оценки ожидаемой эффективности при увеличении бюджетных ассигнований на реализацию действующих расходных обязательств и принятии новых расходных обязательств и анализ возможностей принятия расходных обязательств и предложений по увеличению бюджетных ассигнований на реализацию действующих расходных обязательств с учетом финансовых возможностей областного бюджета</w:t>
            </w:r>
          </w:p>
        </w:tc>
        <w:tc>
          <w:tcPr>
            <w:tcW w:w="1248" w:type="dxa"/>
            <w:tcBorders>
              <w:top w:val="nil"/>
              <w:left w:val="nil"/>
              <w:bottom w:val="nil"/>
              <w:right w:val="nil"/>
            </w:tcBorders>
          </w:tcPr>
          <w:p w:rsidR="00BA1AFA" w:rsidRDefault="00BA1AFA">
            <w:pPr>
              <w:pStyle w:val="ConsPlusNormal"/>
              <w:jc w:val="center"/>
            </w:pPr>
            <w:r>
              <w:t>МУФ СО, главные распорядители средств областного бюджета</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14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2. Совершенствование правовой базы Самарской области и технологических процессов исполнения областного бюджета в рамках компетенции МУФ СО, направленное на повышение эффективности бюджетных расходов</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5.</w:t>
            </w:r>
          </w:p>
        </w:tc>
        <w:tc>
          <w:tcPr>
            <w:tcW w:w="3219" w:type="dxa"/>
            <w:tcBorders>
              <w:top w:val="nil"/>
              <w:left w:val="nil"/>
              <w:bottom w:val="nil"/>
              <w:right w:val="nil"/>
            </w:tcBorders>
          </w:tcPr>
          <w:p w:rsidR="00BA1AFA" w:rsidRDefault="00BA1AFA">
            <w:pPr>
              <w:pStyle w:val="ConsPlusNormal"/>
              <w:jc w:val="both"/>
            </w:pPr>
            <w:r>
              <w:t>Учет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 подлежащих исполнению за счет средств областного бюджета</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6.</w:t>
            </w:r>
          </w:p>
        </w:tc>
        <w:tc>
          <w:tcPr>
            <w:tcW w:w="3219" w:type="dxa"/>
            <w:tcBorders>
              <w:top w:val="nil"/>
              <w:left w:val="nil"/>
              <w:bottom w:val="nil"/>
              <w:right w:val="nil"/>
            </w:tcBorders>
          </w:tcPr>
          <w:p w:rsidR="00BA1AFA" w:rsidRDefault="00BA1AFA">
            <w:pPr>
              <w:pStyle w:val="ConsPlusNormal"/>
              <w:jc w:val="both"/>
            </w:pPr>
            <w:r>
              <w:t xml:space="preserve">Учет бюджетных обязательств, </w:t>
            </w:r>
            <w:r>
              <w:lastRenderedPageBreak/>
              <w:t>вытекающих из заключенных получателями средств областного бюджета соглашений и (или) договоров по предоставлению из областного бюджета субсидий государственным бюджетным и автономным учреждениям Самарской области на возмещение нормативных затрат, связанных с оказанием ими в соответствии с государственным заданием государственных услуг, субсидий на иные цели, субсидий юридическим лицам (за исключением субсидий государственным (муниципальным) учреждениям), а также межбюджетных трансфертов в форме субсидий местным бюджетам</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7.</w:t>
            </w:r>
          </w:p>
        </w:tc>
        <w:tc>
          <w:tcPr>
            <w:tcW w:w="3219" w:type="dxa"/>
            <w:tcBorders>
              <w:top w:val="nil"/>
              <w:left w:val="nil"/>
              <w:bottom w:val="nil"/>
              <w:right w:val="nil"/>
            </w:tcBorders>
          </w:tcPr>
          <w:p w:rsidR="00BA1AFA" w:rsidRDefault="00BA1AFA">
            <w:pPr>
              <w:pStyle w:val="ConsPlusNormal"/>
              <w:jc w:val="both"/>
            </w:pPr>
            <w:r>
              <w:t>Санкционирование оплаты денежных обязательств получателей средств областного бюджета</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8.</w:t>
            </w:r>
          </w:p>
        </w:tc>
        <w:tc>
          <w:tcPr>
            <w:tcW w:w="3219" w:type="dxa"/>
            <w:tcBorders>
              <w:top w:val="nil"/>
              <w:left w:val="nil"/>
              <w:bottom w:val="nil"/>
              <w:right w:val="nil"/>
            </w:tcBorders>
          </w:tcPr>
          <w:p w:rsidR="00BA1AFA" w:rsidRDefault="00BA1AFA">
            <w:pPr>
              <w:pStyle w:val="ConsPlusNormal"/>
              <w:jc w:val="both"/>
            </w:pPr>
            <w:r>
              <w:t xml:space="preserve">Учет обязательств, вытекающих из договоров на поставку товаров, выполнение работ, оказание услуг, аренду имущества, заключенных </w:t>
            </w:r>
            <w:r>
              <w:lastRenderedPageBreak/>
              <w:t xml:space="preserve">государственными бюджетными и автономными учреждениями Самарской области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источником финансового обеспечения которых являются средства, полученные в соответствии с </w:t>
            </w:r>
            <w:hyperlink r:id="rId17" w:history="1">
              <w:r>
                <w:rPr>
                  <w:color w:val="0000FF"/>
                </w:rPr>
                <w:t>абзацем вторым пункта 1 статьи 78.1</w:t>
              </w:r>
            </w:hyperlink>
            <w:r>
              <w:t xml:space="preserve"> Бюджетного кодекса Российской Федерации</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9.</w:t>
            </w:r>
          </w:p>
        </w:tc>
        <w:tc>
          <w:tcPr>
            <w:tcW w:w="3219" w:type="dxa"/>
            <w:tcBorders>
              <w:top w:val="nil"/>
              <w:left w:val="nil"/>
              <w:bottom w:val="nil"/>
              <w:right w:val="nil"/>
            </w:tcBorders>
          </w:tcPr>
          <w:p w:rsidR="00BA1AFA" w:rsidRDefault="00BA1AFA">
            <w:pPr>
              <w:pStyle w:val="ConsPlusNormal"/>
              <w:jc w:val="both"/>
            </w:pPr>
            <w:r>
              <w:t xml:space="preserve">Учет обязательств, вытекающих из договоров на поставку товаров, выполнение работ, оказание услуг, заключенных государственными бюджетными и автономными учреждениями Самарской области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w:t>
            </w:r>
            <w:r>
              <w:lastRenderedPageBreak/>
              <w:t xml:space="preserve">одной сделке, источником финансового обеспечения которых являются средства, полученные в соответствии со </w:t>
            </w:r>
            <w:hyperlink r:id="rId18" w:history="1">
              <w:r>
                <w:rPr>
                  <w:color w:val="0000FF"/>
                </w:rPr>
                <w:t>статьей 78.2</w:t>
              </w:r>
            </w:hyperlink>
            <w:r>
              <w:t xml:space="preserve"> Бюджетного кодекса Российской Федерации</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10.</w:t>
            </w:r>
          </w:p>
        </w:tc>
        <w:tc>
          <w:tcPr>
            <w:tcW w:w="3219" w:type="dxa"/>
            <w:tcBorders>
              <w:top w:val="nil"/>
              <w:left w:val="nil"/>
              <w:bottom w:val="nil"/>
              <w:right w:val="nil"/>
            </w:tcBorders>
          </w:tcPr>
          <w:p w:rsidR="00BA1AFA" w:rsidRDefault="00BA1AFA">
            <w:pPr>
              <w:pStyle w:val="ConsPlusNormal"/>
              <w:jc w:val="both"/>
            </w:pPr>
            <w:r>
              <w:t xml:space="preserve">Санкционирование расходов государственных бюджетных и автономных учреждений Самарской области, источником финансового обеспечения которых являются средства, полученные в соответствии с </w:t>
            </w:r>
            <w:hyperlink r:id="rId19" w:history="1">
              <w:r>
                <w:rPr>
                  <w:color w:val="0000FF"/>
                </w:rPr>
                <w:t>абзацем вторым пункта 1 статьи 78.1</w:t>
              </w:r>
            </w:hyperlink>
            <w:r>
              <w:t xml:space="preserve"> и </w:t>
            </w:r>
            <w:hyperlink r:id="rId20" w:history="1">
              <w:r>
                <w:rPr>
                  <w:color w:val="0000FF"/>
                </w:rPr>
                <w:t>статьей 78.2</w:t>
              </w:r>
            </w:hyperlink>
            <w:r>
              <w:t xml:space="preserve"> Бюджетного кодекса Российской Федерации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11.</w:t>
            </w:r>
          </w:p>
        </w:tc>
        <w:tc>
          <w:tcPr>
            <w:tcW w:w="3219" w:type="dxa"/>
            <w:tcBorders>
              <w:top w:val="nil"/>
              <w:left w:val="nil"/>
              <w:bottom w:val="nil"/>
              <w:right w:val="nil"/>
            </w:tcBorders>
          </w:tcPr>
          <w:p w:rsidR="00BA1AFA" w:rsidRDefault="00BA1AFA">
            <w:pPr>
              <w:pStyle w:val="ConsPlusNormal"/>
              <w:jc w:val="both"/>
            </w:pPr>
            <w:r>
              <w:t>Совершенствование контроля в отношении участников бюджетного процесса, бюджетных и автономных учреждений в рамках компетенции МУФ СО</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2015 - 2023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15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12.</w:t>
            </w:r>
          </w:p>
        </w:tc>
        <w:tc>
          <w:tcPr>
            <w:tcW w:w="3219" w:type="dxa"/>
            <w:tcBorders>
              <w:top w:val="nil"/>
              <w:left w:val="nil"/>
              <w:bottom w:val="nil"/>
              <w:right w:val="nil"/>
            </w:tcBorders>
          </w:tcPr>
          <w:p w:rsidR="00BA1AFA" w:rsidRDefault="00BA1AFA">
            <w:pPr>
              <w:pStyle w:val="ConsPlusNormal"/>
              <w:jc w:val="both"/>
            </w:pPr>
            <w:r>
              <w:t>Совершенствование контроля в отношении юридических лиц, не являющихся получателями средств областного бюджета, в рамках компетенции МУФ СО</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2015 - 2020</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16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12.1.</w:t>
            </w:r>
          </w:p>
        </w:tc>
        <w:tc>
          <w:tcPr>
            <w:tcW w:w="3219" w:type="dxa"/>
            <w:tcBorders>
              <w:top w:val="nil"/>
              <w:left w:val="nil"/>
              <w:bottom w:val="nil"/>
              <w:right w:val="nil"/>
            </w:tcBorders>
          </w:tcPr>
          <w:p w:rsidR="00BA1AFA" w:rsidRDefault="00BA1AFA">
            <w:pPr>
              <w:pStyle w:val="ConsPlusNormal"/>
              <w:jc w:val="both"/>
            </w:pPr>
            <w:r>
              <w:t xml:space="preserve">Совершенствование контроля в отношении юридических лиц, не являющихся участниками бюджетного процесса, </w:t>
            </w:r>
            <w:r>
              <w:lastRenderedPageBreak/>
              <w:t>бюджетными и автономными учреждениями, в рамках компетенции МУФ СО</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2021 - 2023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16.1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13.</w:t>
            </w:r>
          </w:p>
        </w:tc>
        <w:tc>
          <w:tcPr>
            <w:tcW w:w="3219" w:type="dxa"/>
            <w:tcBorders>
              <w:top w:val="nil"/>
              <w:left w:val="nil"/>
              <w:bottom w:val="nil"/>
              <w:right w:val="nil"/>
            </w:tcBorders>
          </w:tcPr>
          <w:p w:rsidR="00BA1AFA" w:rsidRDefault="00BA1AFA">
            <w:pPr>
              <w:pStyle w:val="ConsPlusNormal"/>
              <w:jc w:val="both"/>
            </w:pPr>
            <w:r>
              <w:t>Санкционирование расходов областного бюджета с учетом групп приоритетности расходов, утвержденных правовым актом Правительства Самарской области (далее - акт о приоритетности)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2016 - 2023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17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3. Совершенствование процедур контроля за операциями со средствами юридических лиц, лицевые счета которым открыты в МУФ СО (далее - клиенты)</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14.</w:t>
            </w:r>
          </w:p>
        </w:tc>
        <w:tc>
          <w:tcPr>
            <w:tcW w:w="3219" w:type="dxa"/>
            <w:tcBorders>
              <w:top w:val="nil"/>
              <w:left w:val="nil"/>
              <w:bottom w:val="nil"/>
              <w:right w:val="nil"/>
            </w:tcBorders>
          </w:tcPr>
          <w:p w:rsidR="00BA1AFA" w:rsidRDefault="00BA1AFA">
            <w:pPr>
              <w:pStyle w:val="ConsPlusNormal"/>
              <w:jc w:val="both"/>
            </w:pPr>
            <w:r>
              <w:t>Реализация механизма обеспечения наличными денежными средствами удаленных получателей средств областного бюджета</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2014 - 2015</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15.</w:t>
            </w:r>
          </w:p>
        </w:tc>
        <w:tc>
          <w:tcPr>
            <w:tcW w:w="3219" w:type="dxa"/>
            <w:tcBorders>
              <w:top w:val="nil"/>
              <w:left w:val="nil"/>
              <w:bottom w:val="nil"/>
              <w:right w:val="nil"/>
            </w:tcBorders>
          </w:tcPr>
          <w:p w:rsidR="00BA1AFA" w:rsidRDefault="00BA1AFA">
            <w:pPr>
              <w:pStyle w:val="ConsPlusNormal"/>
              <w:jc w:val="both"/>
            </w:pPr>
            <w:r>
              <w:t>Доведение предельных объемов финансирования до главных распорядителей, распорядителей и получателей средств областного бюджета по группам приоритетности расходов, утвержденных актом о приоритетности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2016 - 2023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19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16.</w:t>
            </w:r>
          </w:p>
        </w:tc>
        <w:tc>
          <w:tcPr>
            <w:tcW w:w="3219" w:type="dxa"/>
            <w:tcBorders>
              <w:top w:val="nil"/>
              <w:left w:val="nil"/>
              <w:bottom w:val="nil"/>
              <w:right w:val="nil"/>
            </w:tcBorders>
          </w:tcPr>
          <w:p w:rsidR="00BA1AFA" w:rsidRDefault="00BA1AFA">
            <w:pPr>
              <w:pStyle w:val="ConsPlusNormal"/>
              <w:jc w:val="both"/>
            </w:pPr>
            <w:r>
              <w:t xml:space="preserve">Разработка и утверждение регламента взаимодействия Управления Федерального казначейства по Самарской области, его территориальных подразделений и МУФ СО в </w:t>
            </w:r>
            <w:r>
              <w:lastRenderedPageBreak/>
              <w:t>целях реализации механизма обеспечения наличными денежными средствами удаленных получателей средств областного бюджета</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17.</w:t>
            </w:r>
          </w:p>
        </w:tc>
        <w:tc>
          <w:tcPr>
            <w:tcW w:w="3219" w:type="dxa"/>
            <w:tcBorders>
              <w:top w:val="nil"/>
              <w:left w:val="nil"/>
              <w:bottom w:val="nil"/>
              <w:right w:val="nil"/>
            </w:tcBorders>
          </w:tcPr>
          <w:p w:rsidR="00BA1AFA" w:rsidRDefault="00BA1AFA">
            <w:pPr>
              <w:pStyle w:val="ConsPlusNormal"/>
              <w:jc w:val="both"/>
            </w:pPr>
            <w:r>
              <w:t>Настройка программного обеспечения МУФ СО в целях надлежащей его работы при обеспечении наличными денежными средствами удаленных получателей средств областного бюджета</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2014 - 2015</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18.</w:t>
            </w:r>
          </w:p>
        </w:tc>
        <w:tc>
          <w:tcPr>
            <w:tcW w:w="3219" w:type="dxa"/>
            <w:tcBorders>
              <w:top w:val="nil"/>
              <w:left w:val="nil"/>
              <w:bottom w:val="nil"/>
              <w:right w:val="nil"/>
            </w:tcBorders>
          </w:tcPr>
          <w:p w:rsidR="00BA1AFA" w:rsidRDefault="00BA1AFA">
            <w:pPr>
              <w:pStyle w:val="ConsPlusNormal"/>
              <w:jc w:val="both"/>
            </w:pPr>
            <w:r>
              <w:t>Реализация совместно с Управлением Федерального казначейства по Самарской области пилотного проекта по обеспечению наличными денежными средствами удаленных получателей средств областного бюджета</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19.</w:t>
            </w:r>
          </w:p>
        </w:tc>
        <w:tc>
          <w:tcPr>
            <w:tcW w:w="3219" w:type="dxa"/>
            <w:tcBorders>
              <w:top w:val="nil"/>
              <w:left w:val="nil"/>
              <w:bottom w:val="nil"/>
              <w:right w:val="nil"/>
            </w:tcBorders>
          </w:tcPr>
          <w:p w:rsidR="00BA1AFA" w:rsidRDefault="00BA1AFA">
            <w:pPr>
              <w:pStyle w:val="ConsPlusNormal"/>
              <w:jc w:val="both"/>
            </w:pPr>
            <w:r>
              <w:t>Создание электронной книги регистрации лицевых счетов в автоматизированной системе исполнения областного бюджета</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2014 - 2015</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20.</w:t>
            </w:r>
          </w:p>
        </w:tc>
        <w:tc>
          <w:tcPr>
            <w:tcW w:w="3219" w:type="dxa"/>
            <w:tcBorders>
              <w:top w:val="nil"/>
              <w:left w:val="nil"/>
              <w:bottom w:val="nil"/>
              <w:right w:val="nil"/>
            </w:tcBorders>
          </w:tcPr>
          <w:p w:rsidR="00BA1AFA" w:rsidRDefault="00BA1AFA">
            <w:pPr>
              <w:pStyle w:val="ConsPlusNormal"/>
              <w:jc w:val="both"/>
            </w:pPr>
            <w:r>
              <w:t xml:space="preserve">Обеспечение возможности отправки клиенту в автоматизированной системе исполнения областного бюджета запроса на выяснение принадлежности платежа с </w:t>
            </w:r>
            <w:r>
              <w:lastRenderedPageBreak/>
              <w:t>электронной подписью ответственного исполнителя МУФ СО</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21.</w:t>
            </w:r>
          </w:p>
        </w:tc>
        <w:tc>
          <w:tcPr>
            <w:tcW w:w="3219" w:type="dxa"/>
            <w:tcBorders>
              <w:top w:val="nil"/>
              <w:left w:val="nil"/>
              <w:bottom w:val="nil"/>
              <w:right w:val="nil"/>
            </w:tcBorders>
          </w:tcPr>
          <w:p w:rsidR="00BA1AFA" w:rsidRDefault="00BA1AFA">
            <w:pPr>
              <w:pStyle w:val="ConsPlusNormal"/>
              <w:jc w:val="both"/>
            </w:pPr>
            <w:r>
              <w:t>Разработка подсистемы по формированию и отправке клиентами со своего удаленного рабочего места уведомления об уточнении вида и принадлежности платежа с электронной подписью клиента в автоматизированной системе исполнения областного бюджета</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22.</w:t>
            </w:r>
          </w:p>
        </w:tc>
        <w:tc>
          <w:tcPr>
            <w:tcW w:w="3219" w:type="dxa"/>
            <w:tcBorders>
              <w:top w:val="nil"/>
              <w:left w:val="nil"/>
              <w:bottom w:val="nil"/>
              <w:right w:val="nil"/>
            </w:tcBorders>
          </w:tcPr>
          <w:p w:rsidR="00BA1AFA" w:rsidRDefault="00BA1AFA">
            <w:pPr>
              <w:pStyle w:val="ConsPlusNormal"/>
              <w:jc w:val="both"/>
            </w:pPr>
            <w:r>
              <w:t>Создание в автоматизированной системе исполнения областного бюджета электронного документа "Расходное расписание"</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23.</w:t>
            </w:r>
          </w:p>
        </w:tc>
        <w:tc>
          <w:tcPr>
            <w:tcW w:w="3219" w:type="dxa"/>
            <w:tcBorders>
              <w:top w:val="nil"/>
              <w:left w:val="nil"/>
              <w:bottom w:val="nil"/>
              <w:right w:val="nil"/>
            </w:tcBorders>
          </w:tcPr>
          <w:p w:rsidR="00BA1AFA" w:rsidRDefault="00BA1AFA">
            <w:pPr>
              <w:pStyle w:val="ConsPlusNormal"/>
              <w:jc w:val="both"/>
            </w:pPr>
            <w:r>
              <w:t>Минимизация наличного денежного обращения клиентов за счет использования расчетных (дебетовых) карт</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2015</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4. Оптимизация формирования консолидированной бюджетной и сводной бухгалтерской отчетности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24.</w:t>
            </w:r>
          </w:p>
        </w:tc>
        <w:tc>
          <w:tcPr>
            <w:tcW w:w="3219" w:type="dxa"/>
            <w:tcBorders>
              <w:top w:val="nil"/>
              <w:left w:val="nil"/>
              <w:bottom w:val="nil"/>
              <w:right w:val="nil"/>
            </w:tcBorders>
          </w:tcPr>
          <w:p w:rsidR="00BA1AFA" w:rsidRDefault="00BA1AFA">
            <w:pPr>
              <w:pStyle w:val="ConsPlusNormal"/>
              <w:jc w:val="both"/>
            </w:pPr>
            <w:r>
              <w:t xml:space="preserve">Разработка и утверждение плана внедрения нового механизма сбора консолидированной бюджетной и сводной бухгалтерской отчетности участников и </w:t>
            </w:r>
            <w:r>
              <w:lastRenderedPageBreak/>
              <w:t>неучастников бюджетного процесса</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20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25.</w:t>
            </w:r>
          </w:p>
        </w:tc>
        <w:tc>
          <w:tcPr>
            <w:tcW w:w="3219" w:type="dxa"/>
            <w:tcBorders>
              <w:top w:val="nil"/>
              <w:left w:val="nil"/>
              <w:bottom w:val="nil"/>
              <w:right w:val="nil"/>
            </w:tcBorders>
          </w:tcPr>
          <w:p w:rsidR="00BA1AFA" w:rsidRDefault="00BA1AFA">
            <w:pPr>
              <w:pStyle w:val="ConsPlusNormal"/>
              <w:jc w:val="both"/>
            </w:pPr>
            <w:r>
              <w:t>Разработка и издание приказа МУФ СО, устанавливающего порядок представления главными распорядителями средств областного бюджета консолидированной бюджетной и сводной бухгалтерской отчетности в электронном виде</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20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26.</w:t>
            </w:r>
          </w:p>
        </w:tc>
        <w:tc>
          <w:tcPr>
            <w:tcW w:w="3219" w:type="dxa"/>
            <w:tcBorders>
              <w:top w:val="nil"/>
              <w:left w:val="nil"/>
              <w:bottom w:val="nil"/>
              <w:right w:val="nil"/>
            </w:tcBorders>
          </w:tcPr>
          <w:p w:rsidR="00BA1AFA" w:rsidRDefault="00BA1AFA">
            <w:pPr>
              <w:pStyle w:val="ConsPlusNormal"/>
              <w:jc w:val="both"/>
            </w:pPr>
            <w:r>
              <w:t>Разработка региональных контрольных соотношений для показателей бюджетной и бухгалтерской отчетности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20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5. Повышение качества управления ликвидностью областного бюджета</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27.</w:t>
            </w:r>
          </w:p>
        </w:tc>
        <w:tc>
          <w:tcPr>
            <w:tcW w:w="3219" w:type="dxa"/>
            <w:tcBorders>
              <w:top w:val="nil"/>
              <w:left w:val="nil"/>
              <w:bottom w:val="nil"/>
              <w:right w:val="nil"/>
            </w:tcBorders>
          </w:tcPr>
          <w:p w:rsidR="00BA1AFA" w:rsidRDefault="00BA1AFA">
            <w:pPr>
              <w:pStyle w:val="ConsPlusNormal"/>
              <w:jc w:val="both"/>
            </w:pPr>
            <w:r>
              <w:t>Оптимизация технологического процесса ежедневного планирования и учета остатков средств на счете областного бюджета с целью недопущения кассовых разрывов</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2020</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Показатель - п. 21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6. Повышение эффективности расходования бюджетных средств главными распорядителями средств областного бюджета</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28.</w:t>
            </w:r>
          </w:p>
        </w:tc>
        <w:tc>
          <w:tcPr>
            <w:tcW w:w="3219" w:type="dxa"/>
            <w:tcBorders>
              <w:top w:val="nil"/>
              <w:left w:val="nil"/>
              <w:bottom w:val="nil"/>
              <w:right w:val="nil"/>
            </w:tcBorders>
          </w:tcPr>
          <w:p w:rsidR="00BA1AFA" w:rsidRDefault="00BA1AFA">
            <w:pPr>
              <w:pStyle w:val="ConsPlusNormal"/>
              <w:jc w:val="both"/>
            </w:pPr>
            <w:r>
              <w:t xml:space="preserve">Осуществление мониторинга качества финансового менеджмента главных распорядителей средств областного бюджета и размещение отчета о результатах указанного </w:t>
            </w:r>
            <w:r>
              <w:lastRenderedPageBreak/>
              <w:t>мониторинга на сайте МУФ СО</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2014 - 2019</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Показатели: п. 22, 23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29.</w:t>
            </w:r>
          </w:p>
        </w:tc>
        <w:tc>
          <w:tcPr>
            <w:tcW w:w="3219" w:type="dxa"/>
            <w:tcBorders>
              <w:top w:val="nil"/>
              <w:left w:val="nil"/>
              <w:bottom w:val="nil"/>
              <w:right w:val="nil"/>
            </w:tcBorders>
          </w:tcPr>
          <w:p w:rsidR="00BA1AFA" w:rsidRDefault="00BA1AFA">
            <w:pPr>
              <w:pStyle w:val="ConsPlusNormal"/>
              <w:jc w:val="both"/>
            </w:pPr>
            <w:r>
              <w:t>Осуществление мониторинга качества финансового менеджмента главных администраторов средств областного бюджета и размещение отчета о результатах указанного мониторинга на сайте МУФ СО</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2020 - 2023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МУФ СО</w:t>
            </w:r>
          </w:p>
        </w:tc>
        <w:tc>
          <w:tcPr>
            <w:tcW w:w="2608" w:type="dxa"/>
            <w:tcBorders>
              <w:top w:val="nil"/>
              <w:left w:val="nil"/>
              <w:bottom w:val="nil"/>
              <w:right w:val="nil"/>
            </w:tcBorders>
          </w:tcPr>
          <w:p w:rsidR="00BA1AFA" w:rsidRDefault="00BA1AFA">
            <w:pPr>
              <w:pStyle w:val="ConsPlusNormal"/>
              <w:jc w:val="both"/>
            </w:pPr>
            <w:r>
              <w:t>Показатели: п. 22.1, 23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7. Реализация единого порядка ведения бюджетного учета и формирования бюджетной отчетности органов государственной власти Самарской области, государственных органов</w:t>
            </w:r>
          </w:p>
          <w:p w:rsidR="00BA1AFA" w:rsidRDefault="00BA1AFA">
            <w:pPr>
              <w:pStyle w:val="ConsPlusNormal"/>
              <w:jc w:val="center"/>
            </w:pPr>
            <w:r>
              <w:t>Самарской области и государственных казенных учреждений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30.</w:t>
            </w:r>
          </w:p>
        </w:tc>
        <w:tc>
          <w:tcPr>
            <w:tcW w:w="3219" w:type="dxa"/>
            <w:tcBorders>
              <w:top w:val="nil"/>
              <w:left w:val="nil"/>
              <w:bottom w:val="nil"/>
              <w:right w:val="nil"/>
            </w:tcBorders>
          </w:tcPr>
          <w:p w:rsidR="00BA1AFA" w:rsidRDefault="00BA1AFA">
            <w:pPr>
              <w:pStyle w:val="ConsPlusNormal"/>
              <w:jc w:val="both"/>
            </w:pPr>
            <w:r>
              <w:t>Мероприятия по централизации бюджетного учета и формированию бюджетной отчетности органов государственной власти Самарской области, государственных органов Самарской области и государственных казенных учреждений Самарской области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2019 - 2023</w:t>
            </w:r>
          </w:p>
        </w:tc>
        <w:tc>
          <w:tcPr>
            <w:tcW w:w="1020" w:type="dxa"/>
            <w:tcBorders>
              <w:top w:val="nil"/>
              <w:left w:val="nil"/>
              <w:bottom w:val="nil"/>
              <w:right w:val="nil"/>
            </w:tcBorders>
          </w:tcPr>
          <w:p w:rsidR="00BA1AFA" w:rsidRDefault="00BA1AFA">
            <w:pPr>
              <w:pStyle w:val="ConsPlusNormal"/>
              <w:jc w:val="center"/>
            </w:pPr>
            <w:r>
              <w:t>-</w:t>
            </w:r>
          </w:p>
        </w:tc>
        <w:tc>
          <w:tcPr>
            <w:tcW w:w="1077" w:type="dxa"/>
            <w:tcBorders>
              <w:top w:val="nil"/>
              <w:left w:val="nil"/>
              <w:bottom w:val="nil"/>
              <w:right w:val="nil"/>
            </w:tcBorders>
          </w:tcPr>
          <w:p w:rsidR="00BA1AFA" w:rsidRDefault="00BA1AFA">
            <w:pPr>
              <w:pStyle w:val="ConsPlusNormal"/>
              <w:jc w:val="center"/>
            </w:pPr>
            <w:r>
              <w:t>-</w:t>
            </w:r>
          </w:p>
        </w:tc>
        <w:tc>
          <w:tcPr>
            <w:tcW w:w="1020" w:type="dxa"/>
            <w:tcBorders>
              <w:top w:val="nil"/>
              <w:left w:val="nil"/>
              <w:bottom w:val="nil"/>
              <w:right w:val="nil"/>
            </w:tcBorders>
          </w:tcPr>
          <w:p w:rsidR="00BA1AFA" w:rsidRDefault="00BA1AFA">
            <w:pPr>
              <w:pStyle w:val="ConsPlusNormal"/>
              <w:jc w:val="center"/>
            </w:pPr>
            <w:r>
              <w:t>-</w:t>
            </w:r>
          </w:p>
        </w:tc>
        <w:tc>
          <w:tcPr>
            <w:tcW w:w="1134" w:type="dxa"/>
            <w:tcBorders>
              <w:top w:val="nil"/>
              <w:left w:val="nil"/>
              <w:bottom w:val="nil"/>
              <w:right w:val="nil"/>
            </w:tcBorders>
          </w:tcPr>
          <w:p w:rsidR="00BA1AFA" w:rsidRDefault="00BA1AFA">
            <w:pPr>
              <w:pStyle w:val="ConsPlusNormal"/>
              <w:jc w:val="center"/>
            </w:pPr>
            <w:r>
              <w:t>-</w:t>
            </w:r>
          </w:p>
        </w:tc>
        <w:tc>
          <w:tcPr>
            <w:tcW w:w="1077" w:type="dxa"/>
            <w:tcBorders>
              <w:top w:val="nil"/>
              <w:left w:val="nil"/>
              <w:bottom w:val="nil"/>
              <w:right w:val="nil"/>
            </w:tcBorders>
          </w:tcPr>
          <w:p w:rsidR="00BA1AFA" w:rsidRDefault="00BA1AFA">
            <w:pPr>
              <w:pStyle w:val="ConsPlusNormal"/>
              <w:jc w:val="center"/>
            </w:pPr>
            <w:r>
              <w:t>-</w:t>
            </w:r>
          </w:p>
        </w:tc>
        <w:tc>
          <w:tcPr>
            <w:tcW w:w="1134" w:type="dxa"/>
            <w:tcBorders>
              <w:top w:val="nil"/>
              <w:left w:val="nil"/>
              <w:bottom w:val="nil"/>
              <w:right w:val="nil"/>
            </w:tcBorders>
          </w:tcPr>
          <w:p w:rsidR="00BA1AFA" w:rsidRDefault="00BA1AFA">
            <w:pPr>
              <w:pStyle w:val="ConsPlusNormal"/>
              <w:jc w:val="center"/>
            </w:pPr>
            <w:r>
              <w:t>95,1</w:t>
            </w:r>
          </w:p>
        </w:tc>
        <w:tc>
          <w:tcPr>
            <w:tcW w:w="1134" w:type="dxa"/>
            <w:tcBorders>
              <w:top w:val="nil"/>
              <w:left w:val="nil"/>
              <w:bottom w:val="nil"/>
              <w:right w:val="nil"/>
            </w:tcBorders>
          </w:tcPr>
          <w:p w:rsidR="00BA1AFA" w:rsidRDefault="00BA1AFA">
            <w:pPr>
              <w:pStyle w:val="ConsPlusNormal"/>
              <w:jc w:val="center"/>
            </w:pPr>
            <w:r>
              <w:t>101,5</w:t>
            </w:r>
          </w:p>
        </w:tc>
        <w:tc>
          <w:tcPr>
            <w:tcW w:w="1134" w:type="dxa"/>
            <w:tcBorders>
              <w:top w:val="nil"/>
              <w:left w:val="nil"/>
              <w:bottom w:val="nil"/>
              <w:right w:val="nil"/>
            </w:tcBorders>
          </w:tcPr>
          <w:p w:rsidR="00BA1AFA" w:rsidRDefault="00BA1AFA">
            <w:pPr>
              <w:pStyle w:val="ConsPlusNormal"/>
              <w:jc w:val="center"/>
            </w:pPr>
            <w:r>
              <w:t>49,7</w:t>
            </w:r>
          </w:p>
        </w:tc>
        <w:tc>
          <w:tcPr>
            <w:tcW w:w="1077" w:type="dxa"/>
            <w:tcBorders>
              <w:top w:val="nil"/>
              <w:left w:val="nil"/>
              <w:bottom w:val="nil"/>
              <w:right w:val="nil"/>
            </w:tcBorders>
          </w:tcPr>
          <w:p w:rsidR="00BA1AFA" w:rsidRDefault="00BA1AFA">
            <w:pPr>
              <w:pStyle w:val="ConsPlusNormal"/>
              <w:jc w:val="center"/>
            </w:pPr>
            <w:r>
              <w:t>12,0</w:t>
            </w:r>
          </w:p>
        </w:tc>
        <w:tc>
          <w:tcPr>
            <w:tcW w:w="1134" w:type="dxa"/>
            <w:tcBorders>
              <w:top w:val="nil"/>
              <w:left w:val="nil"/>
              <w:bottom w:val="nil"/>
              <w:right w:val="nil"/>
            </w:tcBorders>
          </w:tcPr>
          <w:p w:rsidR="00BA1AFA" w:rsidRDefault="00BA1AFA">
            <w:pPr>
              <w:pStyle w:val="ConsPlusNormal"/>
              <w:jc w:val="center"/>
            </w:pPr>
            <w:r>
              <w:t>12,0</w:t>
            </w:r>
          </w:p>
        </w:tc>
        <w:tc>
          <w:tcPr>
            <w:tcW w:w="1134" w:type="dxa"/>
            <w:tcBorders>
              <w:top w:val="nil"/>
              <w:left w:val="nil"/>
              <w:bottom w:val="nil"/>
              <w:right w:val="nil"/>
            </w:tcBorders>
          </w:tcPr>
          <w:p w:rsidR="00BA1AFA" w:rsidRDefault="00BA1AFA">
            <w:pPr>
              <w:pStyle w:val="ConsPlusNormal"/>
              <w:jc w:val="center"/>
            </w:pPr>
            <w:r>
              <w:t>270,3</w:t>
            </w:r>
          </w:p>
        </w:tc>
        <w:tc>
          <w:tcPr>
            <w:tcW w:w="2608" w:type="dxa"/>
            <w:tcBorders>
              <w:top w:val="nil"/>
              <w:left w:val="nil"/>
              <w:bottom w:val="nil"/>
              <w:right w:val="nil"/>
            </w:tcBorders>
          </w:tcPr>
          <w:p w:rsidR="00BA1AFA" w:rsidRDefault="00BA1AFA">
            <w:pPr>
              <w:pStyle w:val="ConsPlusNormal"/>
              <w:jc w:val="both"/>
            </w:pPr>
            <w:r>
              <w:t>Показатель - п. 23.1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31.</w:t>
            </w:r>
          </w:p>
        </w:tc>
        <w:tc>
          <w:tcPr>
            <w:tcW w:w="3219" w:type="dxa"/>
            <w:tcBorders>
              <w:top w:val="nil"/>
              <w:left w:val="nil"/>
              <w:bottom w:val="nil"/>
              <w:right w:val="nil"/>
            </w:tcBorders>
          </w:tcPr>
          <w:p w:rsidR="00BA1AFA" w:rsidRDefault="00BA1AFA">
            <w:pPr>
              <w:pStyle w:val="ConsPlusNormal"/>
              <w:jc w:val="both"/>
            </w:pPr>
            <w:r>
              <w:t>Обеспечение деятельности государственного казенного учреждения Самарской области "Центр учета и бюджетной аналитики" (далее - ГКУ)</w:t>
            </w:r>
          </w:p>
        </w:tc>
        <w:tc>
          <w:tcPr>
            <w:tcW w:w="1248" w:type="dxa"/>
            <w:tcBorders>
              <w:top w:val="nil"/>
              <w:left w:val="nil"/>
              <w:bottom w:val="nil"/>
              <w:right w:val="nil"/>
            </w:tcBorders>
          </w:tcPr>
          <w:p w:rsidR="00BA1AFA" w:rsidRDefault="00BA1AFA">
            <w:pPr>
              <w:pStyle w:val="ConsPlusNormal"/>
              <w:jc w:val="center"/>
            </w:pPr>
            <w:r>
              <w:t>ГКУ</w:t>
            </w:r>
          </w:p>
        </w:tc>
        <w:tc>
          <w:tcPr>
            <w:tcW w:w="993" w:type="dxa"/>
            <w:tcBorders>
              <w:top w:val="nil"/>
              <w:left w:val="nil"/>
              <w:bottom w:val="nil"/>
              <w:right w:val="nil"/>
            </w:tcBorders>
          </w:tcPr>
          <w:p w:rsidR="00BA1AFA" w:rsidRDefault="00BA1AFA">
            <w:pPr>
              <w:pStyle w:val="ConsPlusNormal"/>
              <w:jc w:val="center"/>
            </w:pPr>
            <w:r>
              <w:t>2019 - 2023</w:t>
            </w:r>
          </w:p>
        </w:tc>
        <w:tc>
          <w:tcPr>
            <w:tcW w:w="1020" w:type="dxa"/>
            <w:tcBorders>
              <w:top w:val="nil"/>
              <w:left w:val="nil"/>
              <w:bottom w:val="nil"/>
              <w:right w:val="nil"/>
            </w:tcBorders>
          </w:tcPr>
          <w:p w:rsidR="00BA1AFA" w:rsidRDefault="00BA1AFA">
            <w:pPr>
              <w:pStyle w:val="ConsPlusNormal"/>
              <w:jc w:val="center"/>
            </w:pPr>
            <w:r>
              <w:t>-</w:t>
            </w:r>
          </w:p>
        </w:tc>
        <w:tc>
          <w:tcPr>
            <w:tcW w:w="1077" w:type="dxa"/>
            <w:tcBorders>
              <w:top w:val="nil"/>
              <w:left w:val="nil"/>
              <w:bottom w:val="nil"/>
              <w:right w:val="nil"/>
            </w:tcBorders>
          </w:tcPr>
          <w:p w:rsidR="00BA1AFA" w:rsidRDefault="00BA1AFA">
            <w:pPr>
              <w:pStyle w:val="ConsPlusNormal"/>
              <w:jc w:val="center"/>
            </w:pPr>
            <w:r>
              <w:t>-</w:t>
            </w:r>
          </w:p>
        </w:tc>
        <w:tc>
          <w:tcPr>
            <w:tcW w:w="1020" w:type="dxa"/>
            <w:tcBorders>
              <w:top w:val="nil"/>
              <w:left w:val="nil"/>
              <w:bottom w:val="nil"/>
              <w:right w:val="nil"/>
            </w:tcBorders>
          </w:tcPr>
          <w:p w:rsidR="00BA1AFA" w:rsidRDefault="00BA1AFA">
            <w:pPr>
              <w:pStyle w:val="ConsPlusNormal"/>
              <w:jc w:val="center"/>
            </w:pPr>
            <w:r>
              <w:t>-</w:t>
            </w:r>
          </w:p>
        </w:tc>
        <w:tc>
          <w:tcPr>
            <w:tcW w:w="1134" w:type="dxa"/>
            <w:tcBorders>
              <w:top w:val="nil"/>
              <w:left w:val="nil"/>
              <w:bottom w:val="nil"/>
              <w:right w:val="nil"/>
            </w:tcBorders>
          </w:tcPr>
          <w:p w:rsidR="00BA1AFA" w:rsidRDefault="00BA1AFA">
            <w:pPr>
              <w:pStyle w:val="ConsPlusNormal"/>
              <w:jc w:val="center"/>
            </w:pPr>
            <w:r>
              <w:t>-</w:t>
            </w:r>
          </w:p>
        </w:tc>
        <w:tc>
          <w:tcPr>
            <w:tcW w:w="1077" w:type="dxa"/>
            <w:tcBorders>
              <w:top w:val="nil"/>
              <w:left w:val="nil"/>
              <w:bottom w:val="nil"/>
              <w:right w:val="nil"/>
            </w:tcBorders>
          </w:tcPr>
          <w:p w:rsidR="00BA1AFA" w:rsidRDefault="00BA1AFA">
            <w:pPr>
              <w:pStyle w:val="ConsPlusNormal"/>
              <w:jc w:val="center"/>
            </w:pPr>
            <w:r>
              <w:t>-</w:t>
            </w:r>
          </w:p>
        </w:tc>
        <w:tc>
          <w:tcPr>
            <w:tcW w:w="1134" w:type="dxa"/>
            <w:tcBorders>
              <w:top w:val="nil"/>
              <w:left w:val="nil"/>
              <w:bottom w:val="nil"/>
              <w:right w:val="nil"/>
            </w:tcBorders>
          </w:tcPr>
          <w:p w:rsidR="00BA1AFA" w:rsidRDefault="00BA1AFA">
            <w:pPr>
              <w:pStyle w:val="ConsPlusNormal"/>
              <w:jc w:val="center"/>
            </w:pPr>
            <w:r>
              <w:t>44,9</w:t>
            </w:r>
          </w:p>
        </w:tc>
        <w:tc>
          <w:tcPr>
            <w:tcW w:w="1134" w:type="dxa"/>
            <w:tcBorders>
              <w:top w:val="nil"/>
              <w:left w:val="nil"/>
              <w:bottom w:val="nil"/>
              <w:right w:val="nil"/>
            </w:tcBorders>
          </w:tcPr>
          <w:p w:rsidR="00BA1AFA" w:rsidRDefault="00BA1AFA">
            <w:pPr>
              <w:pStyle w:val="ConsPlusNormal"/>
              <w:jc w:val="center"/>
            </w:pPr>
            <w:r>
              <w:t>75,1</w:t>
            </w:r>
          </w:p>
        </w:tc>
        <w:tc>
          <w:tcPr>
            <w:tcW w:w="1134" w:type="dxa"/>
            <w:tcBorders>
              <w:top w:val="nil"/>
              <w:left w:val="nil"/>
              <w:bottom w:val="nil"/>
              <w:right w:val="nil"/>
            </w:tcBorders>
          </w:tcPr>
          <w:p w:rsidR="00BA1AFA" w:rsidRDefault="00BA1AFA">
            <w:pPr>
              <w:pStyle w:val="ConsPlusNormal"/>
              <w:jc w:val="center"/>
            </w:pPr>
            <w:r>
              <w:t>307,2</w:t>
            </w:r>
          </w:p>
        </w:tc>
        <w:tc>
          <w:tcPr>
            <w:tcW w:w="1077" w:type="dxa"/>
            <w:tcBorders>
              <w:top w:val="nil"/>
              <w:left w:val="nil"/>
              <w:bottom w:val="nil"/>
              <w:right w:val="nil"/>
            </w:tcBorders>
          </w:tcPr>
          <w:p w:rsidR="00BA1AFA" w:rsidRDefault="00BA1AFA">
            <w:pPr>
              <w:pStyle w:val="ConsPlusNormal"/>
              <w:jc w:val="center"/>
            </w:pPr>
            <w:r>
              <w:t>319,3</w:t>
            </w:r>
          </w:p>
        </w:tc>
        <w:tc>
          <w:tcPr>
            <w:tcW w:w="1134" w:type="dxa"/>
            <w:tcBorders>
              <w:top w:val="nil"/>
              <w:left w:val="nil"/>
              <w:bottom w:val="nil"/>
              <w:right w:val="nil"/>
            </w:tcBorders>
          </w:tcPr>
          <w:p w:rsidR="00BA1AFA" w:rsidRDefault="00BA1AFA">
            <w:pPr>
              <w:pStyle w:val="ConsPlusNormal"/>
              <w:jc w:val="center"/>
            </w:pPr>
            <w:r>
              <w:t>319,3</w:t>
            </w:r>
          </w:p>
        </w:tc>
        <w:tc>
          <w:tcPr>
            <w:tcW w:w="1134" w:type="dxa"/>
            <w:tcBorders>
              <w:top w:val="nil"/>
              <w:left w:val="nil"/>
              <w:bottom w:val="nil"/>
              <w:right w:val="nil"/>
            </w:tcBorders>
          </w:tcPr>
          <w:p w:rsidR="00BA1AFA" w:rsidRDefault="00BA1AFA">
            <w:pPr>
              <w:pStyle w:val="ConsPlusNormal"/>
              <w:jc w:val="center"/>
            </w:pPr>
            <w:r>
              <w:t>1065,7</w:t>
            </w:r>
          </w:p>
        </w:tc>
        <w:tc>
          <w:tcPr>
            <w:tcW w:w="2608" w:type="dxa"/>
            <w:tcBorders>
              <w:top w:val="nil"/>
              <w:left w:val="nil"/>
              <w:bottom w:val="nil"/>
              <w:right w:val="nil"/>
            </w:tcBorders>
          </w:tcPr>
          <w:p w:rsidR="00BA1AFA" w:rsidRDefault="00BA1AFA">
            <w:pPr>
              <w:pStyle w:val="ConsPlusNormal"/>
              <w:jc w:val="both"/>
            </w:pPr>
            <w:r>
              <w:t>Показатель - п. 23.1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pPr>
          </w:p>
        </w:tc>
        <w:tc>
          <w:tcPr>
            <w:tcW w:w="3219" w:type="dxa"/>
            <w:tcBorders>
              <w:top w:val="nil"/>
              <w:left w:val="nil"/>
              <w:bottom w:val="nil"/>
              <w:right w:val="nil"/>
            </w:tcBorders>
          </w:tcPr>
          <w:p w:rsidR="00BA1AFA" w:rsidRDefault="00BA1AFA">
            <w:pPr>
              <w:pStyle w:val="ConsPlusNormal"/>
              <w:jc w:val="both"/>
            </w:pPr>
            <w:r>
              <w:t>Итого по подпрограмме</w:t>
            </w:r>
          </w:p>
        </w:tc>
        <w:tc>
          <w:tcPr>
            <w:tcW w:w="1248" w:type="dxa"/>
            <w:tcBorders>
              <w:top w:val="nil"/>
              <w:left w:val="nil"/>
              <w:bottom w:val="nil"/>
              <w:right w:val="nil"/>
            </w:tcBorders>
          </w:tcPr>
          <w:p w:rsidR="00BA1AFA" w:rsidRDefault="00BA1AFA">
            <w:pPr>
              <w:pStyle w:val="ConsPlusNormal"/>
            </w:pPr>
          </w:p>
        </w:tc>
        <w:tc>
          <w:tcPr>
            <w:tcW w:w="993" w:type="dxa"/>
            <w:tcBorders>
              <w:top w:val="nil"/>
              <w:left w:val="nil"/>
              <w:bottom w:val="nil"/>
              <w:right w:val="nil"/>
            </w:tcBorders>
          </w:tcPr>
          <w:p w:rsidR="00BA1AFA" w:rsidRDefault="00BA1AFA">
            <w:pPr>
              <w:pStyle w:val="ConsPlusNormal"/>
            </w:pPr>
          </w:p>
        </w:tc>
        <w:tc>
          <w:tcPr>
            <w:tcW w:w="1020" w:type="dxa"/>
            <w:tcBorders>
              <w:top w:val="nil"/>
              <w:left w:val="nil"/>
              <w:bottom w:val="nil"/>
              <w:right w:val="nil"/>
            </w:tcBorders>
          </w:tcPr>
          <w:p w:rsidR="00BA1AFA" w:rsidRDefault="00BA1AFA">
            <w:pPr>
              <w:pStyle w:val="ConsPlusNormal"/>
              <w:jc w:val="center"/>
            </w:pPr>
            <w:r>
              <w:t>349,9</w:t>
            </w:r>
          </w:p>
        </w:tc>
        <w:tc>
          <w:tcPr>
            <w:tcW w:w="1077" w:type="dxa"/>
            <w:tcBorders>
              <w:top w:val="nil"/>
              <w:left w:val="nil"/>
              <w:bottom w:val="nil"/>
              <w:right w:val="nil"/>
            </w:tcBorders>
          </w:tcPr>
          <w:p w:rsidR="00BA1AFA" w:rsidRDefault="00BA1AFA">
            <w:pPr>
              <w:pStyle w:val="ConsPlusNormal"/>
              <w:jc w:val="center"/>
            </w:pPr>
            <w:r>
              <w:t>299,9</w:t>
            </w:r>
          </w:p>
        </w:tc>
        <w:tc>
          <w:tcPr>
            <w:tcW w:w="1020" w:type="dxa"/>
            <w:tcBorders>
              <w:top w:val="nil"/>
              <w:left w:val="nil"/>
              <w:bottom w:val="nil"/>
              <w:right w:val="nil"/>
            </w:tcBorders>
          </w:tcPr>
          <w:p w:rsidR="00BA1AFA" w:rsidRDefault="00BA1AFA">
            <w:pPr>
              <w:pStyle w:val="ConsPlusNormal"/>
              <w:jc w:val="center"/>
            </w:pPr>
            <w:r>
              <w:t>310,5</w:t>
            </w:r>
          </w:p>
        </w:tc>
        <w:tc>
          <w:tcPr>
            <w:tcW w:w="1134" w:type="dxa"/>
            <w:tcBorders>
              <w:top w:val="nil"/>
              <w:left w:val="nil"/>
              <w:bottom w:val="nil"/>
              <w:right w:val="nil"/>
            </w:tcBorders>
          </w:tcPr>
          <w:p w:rsidR="00BA1AFA" w:rsidRDefault="00BA1AFA">
            <w:pPr>
              <w:pStyle w:val="ConsPlusNormal"/>
              <w:jc w:val="center"/>
            </w:pPr>
            <w:r>
              <w:t>301,8</w:t>
            </w:r>
          </w:p>
        </w:tc>
        <w:tc>
          <w:tcPr>
            <w:tcW w:w="1077" w:type="dxa"/>
            <w:tcBorders>
              <w:top w:val="nil"/>
              <w:left w:val="nil"/>
              <w:bottom w:val="nil"/>
              <w:right w:val="nil"/>
            </w:tcBorders>
          </w:tcPr>
          <w:p w:rsidR="00BA1AFA" w:rsidRDefault="00BA1AFA">
            <w:pPr>
              <w:pStyle w:val="ConsPlusNormal"/>
              <w:jc w:val="center"/>
            </w:pPr>
            <w:r>
              <w:t>338,9</w:t>
            </w:r>
          </w:p>
        </w:tc>
        <w:tc>
          <w:tcPr>
            <w:tcW w:w="1134" w:type="dxa"/>
            <w:tcBorders>
              <w:top w:val="nil"/>
              <w:left w:val="nil"/>
              <w:bottom w:val="nil"/>
              <w:right w:val="nil"/>
            </w:tcBorders>
          </w:tcPr>
          <w:p w:rsidR="00BA1AFA" w:rsidRDefault="00BA1AFA">
            <w:pPr>
              <w:pStyle w:val="ConsPlusNormal"/>
              <w:jc w:val="center"/>
            </w:pPr>
            <w:r>
              <w:t>518,2</w:t>
            </w:r>
          </w:p>
        </w:tc>
        <w:tc>
          <w:tcPr>
            <w:tcW w:w="1134" w:type="dxa"/>
            <w:tcBorders>
              <w:top w:val="nil"/>
              <w:left w:val="nil"/>
              <w:bottom w:val="nil"/>
              <w:right w:val="nil"/>
            </w:tcBorders>
          </w:tcPr>
          <w:p w:rsidR="00BA1AFA" w:rsidRDefault="00BA1AFA">
            <w:pPr>
              <w:pStyle w:val="ConsPlusNormal"/>
              <w:jc w:val="center"/>
            </w:pPr>
            <w:r>
              <w:t>574,8</w:t>
            </w:r>
          </w:p>
        </w:tc>
        <w:tc>
          <w:tcPr>
            <w:tcW w:w="1134" w:type="dxa"/>
            <w:tcBorders>
              <w:top w:val="nil"/>
              <w:left w:val="nil"/>
              <w:bottom w:val="nil"/>
              <w:right w:val="nil"/>
            </w:tcBorders>
          </w:tcPr>
          <w:p w:rsidR="00BA1AFA" w:rsidRDefault="00BA1AFA">
            <w:pPr>
              <w:pStyle w:val="ConsPlusNormal"/>
              <w:jc w:val="center"/>
            </w:pPr>
            <w:r>
              <w:t>761,9</w:t>
            </w:r>
          </w:p>
        </w:tc>
        <w:tc>
          <w:tcPr>
            <w:tcW w:w="1077" w:type="dxa"/>
            <w:tcBorders>
              <w:top w:val="nil"/>
              <w:left w:val="nil"/>
              <w:bottom w:val="nil"/>
              <w:right w:val="nil"/>
            </w:tcBorders>
          </w:tcPr>
          <w:p w:rsidR="00BA1AFA" w:rsidRDefault="00BA1AFA">
            <w:pPr>
              <w:pStyle w:val="ConsPlusNormal"/>
              <w:jc w:val="center"/>
            </w:pPr>
            <w:r>
              <w:t>736,3</w:t>
            </w:r>
          </w:p>
        </w:tc>
        <w:tc>
          <w:tcPr>
            <w:tcW w:w="1134" w:type="dxa"/>
            <w:tcBorders>
              <w:top w:val="nil"/>
              <w:left w:val="nil"/>
              <w:bottom w:val="nil"/>
              <w:right w:val="nil"/>
            </w:tcBorders>
          </w:tcPr>
          <w:p w:rsidR="00BA1AFA" w:rsidRDefault="00BA1AFA">
            <w:pPr>
              <w:pStyle w:val="ConsPlusNormal"/>
              <w:jc w:val="center"/>
            </w:pPr>
            <w:r>
              <w:t>736,3</w:t>
            </w:r>
          </w:p>
        </w:tc>
        <w:tc>
          <w:tcPr>
            <w:tcW w:w="1134" w:type="dxa"/>
            <w:tcBorders>
              <w:top w:val="nil"/>
              <w:left w:val="nil"/>
              <w:bottom w:val="nil"/>
              <w:right w:val="nil"/>
            </w:tcBorders>
          </w:tcPr>
          <w:p w:rsidR="00BA1AFA" w:rsidRDefault="00BA1AFA">
            <w:pPr>
              <w:pStyle w:val="ConsPlusNormal"/>
              <w:jc w:val="center"/>
            </w:pPr>
            <w:r>
              <w:t>4928,3</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2"/>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2014 - 2023 годы</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3"/>
            </w:pPr>
            <w:r>
              <w:lastRenderedPageBreak/>
              <w:t>Цель. 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1. Обеспечение открытости, прозрачности и подотчетности деятельности органов исполнительной власти Самарской области и органов местного самоуправления в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w:t>
            </w:r>
          </w:p>
        </w:tc>
        <w:tc>
          <w:tcPr>
            <w:tcW w:w="3219" w:type="dxa"/>
            <w:tcBorders>
              <w:top w:val="nil"/>
              <w:left w:val="nil"/>
              <w:bottom w:val="nil"/>
              <w:right w:val="nil"/>
            </w:tcBorders>
          </w:tcPr>
          <w:p w:rsidR="00BA1AFA" w:rsidRDefault="00BA1AFA">
            <w:pPr>
              <w:pStyle w:val="ConsPlusNormal"/>
              <w:jc w:val="both"/>
            </w:pPr>
            <w:r>
              <w:t>Проведение мероприятий, направленных на создание и внедрение единого портала государственной и муниципальной бюджетной системы региона</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2014 - 2016</w:t>
            </w:r>
          </w:p>
        </w:tc>
        <w:tc>
          <w:tcPr>
            <w:tcW w:w="1020" w:type="dxa"/>
            <w:tcBorders>
              <w:top w:val="nil"/>
              <w:left w:val="nil"/>
              <w:bottom w:val="nil"/>
              <w:right w:val="nil"/>
            </w:tcBorders>
          </w:tcPr>
          <w:p w:rsidR="00BA1AFA" w:rsidRDefault="00BA1AFA">
            <w:pPr>
              <w:pStyle w:val="ConsPlusNormal"/>
              <w:jc w:val="center"/>
            </w:pPr>
            <w:r>
              <w:t>3</w:t>
            </w:r>
          </w:p>
        </w:tc>
        <w:tc>
          <w:tcPr>
            <w:tcW w:w="1077" w:type="dxa"/>
            <w:tcBorders>
              <w:top w:val="nil"/>
              <w:left w:val="nil"/>
              <w:bottom w:val="nil"/>
              <w:right w:val="nil"/>
            </w:tcBorders>
          </w:tcPr>
          <w:p w:rsidR="00BA1AFA" w:rsidRDefault="00BA1AFA">
            <w:pPr>
              <w:pStyle w:val="ConsPlusNormal"/>
              <w:jc w:val="center"/>
            </w:pPr>
            <w:r>
              <w:t>0,5</w:t>
            </w:r>
          </w:p>
        </w:tc>
        <w:tc>
          <w:tcPr>
            <w:tcW w:w="1020" w:type="dxa"/>
            <w:tcBorders>
              <w:top w:val="nil"/>
              <w:left w:val="nil"/>
              <w:bottom w:val="nil"/>
              <w:right w:val="nil"/>
            </w:tcBorders>
          </w:tcPr>
          <w:p w:rsidR="00BA1AFA" w:rsidRDefault="00BA1AFA">
            <w:pPr>
              <w:pStyle w:val="ConsPlusNormal"/>
              <w:jc w:val="center"/>
            </w:pPr>
            <w:r>
              <w:t>4,1</w:t>
            </w:r>
          </w:p>
        </w:tc>
        <w:tc>
          <w:tcPr>
            <w:tcW w:w="1134" w:type="dxa"/>
            <w:tcBorders>
              <w:top w:val="nil"/>
              <w:left w:val="nil"/>
              <w:bottom w:val="nil"/>
              <w:right w:val="nil"/>
            </w:tcBorders>
          </w:tcPr>
          <w:p w:rsidR="00BA1AFA" w:rsidRDefault="00BA1AFA">
            <w:pPr>
              <w:pStyle w:val="ConsPlusNormal"/>
              <w:jc w:val="center"/>
            </w:pPr>
            <w:r>
              <w:t>0,0</w:t>
            </w:r>
          </w:p>
        </w:tc>
        <w:tc>
          <w:tcPr>
            <w:tcW w:w="1077"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077"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7,6</w:t>
            </w:r>
          </w:p>
        </w:tc>
        <w:tc>
          <w:tcPr>
            <w:tcW w:w="2608" w:type="dxa"/>
            <w:tcBorders>
              <w:top w:val="nil"/>
              <w:left w:val="nil"/>
              <w:bottom w:val="nil"/>
              <w:right w:val="nil"/>
            </w:tcBorders>
          </w:tcPr>
          <w:p w:rsidR="00BA1AFA" w:rsidRDefault="00BA1AFA">
            <w:pPr>
              <w:pStyle w:val="ConsPlusNormal"/>
              <w:jc w:val="both"/>
            </w:pPr>
            <w:r>
              <w:t>Показатели: п. 24, 25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2. Обеспечение автоматизации бюджетного процесса Самарской области, создание условий для осуществления эффективного финансового менеджмента организаций сектора государственного управления, качественного функционирования и обслуживания программного обеспечения, вычислительной техники, каналов связи, телекоммуникационного и иного оборудования, входящих в единое информационное пространство управления консолидированным бюджетом Самарской области</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w:t>
            </w:r>
          </w:p>
        </w:tc>
        <w:tc>
          <w:tcPr>
            <w:tcW w:w="3219" w:type="dxa"/>
            <w:tcBorders>
              <w:top w:val="nil"/>
              <w:left w:val="nil"/>
              <w:bottom w:val="nil"/>
              <w:right w:val="nil"/>
            </w:tcBorders>
          </w:tcPr>
          <w:p w:rsidR="00BA1AFA" w:rsidRDefault="00BA1AFA">
            <w:pPr>
              <w:pStyle w:val="ConsPlusNormal"/>
              <w:jc w:val="both"/>
            </w:pPr>
            <w:r>
              <w:t>Проведение мероприятий, направленных на обеспечение автоматизации бюджетного процесса Самарской области и создание условий для совершенствования качественного функционирования и обслуживания регионального электронного бюджета Самарской области</w:t>
            </w:r>
          </w:p>
        </w:tc>
        <w:tc>
          <w:tcPr>
            <w:tcW w:w="1248" w:type="dxa"/>
            <w:tcBorders>
              <w:top w:val="nil"/>
              <w:left w:val="nil"/>
              <w:bottom w:val="nil"/>
              <w:right w:val="nil"/>
            </w:tcBorders>
          </w:tcPr>
          <w:p w:rsidR="00BA1AFA" w:rsidRDefault="00BA1AFA">
            <w:pPr>
              <w:pStyle w:val="ConsPlusNormal"/>
              <w:jc w:val="center"/>
            </w:pPr>
            <w:r>
              <w:t>МУФ СО</w:t>
            </w:r>
          </w:p>
        </w:tc>
        <w:tc>
          <w:tcPr>
            <w:tcW w:w="993" w:type="dxa"/>
            <w:tcBorders>
              <w:top w:val="nil"/>
              <w:left w:val="nil"/>
              <w:bottom w:val="nil"/>
              <w:right w:val="nil"/>
            </w:tcBorders>
          </w:tcPr>
          <w:p w:rsidR="00BA1AFA" w:rsidRDefault="00BA1AFA">
            <w:pPr>
              <w:pStyle w:val="ConsPlusNormal"/>
              <w:jc w:val="center"/>
            </w:pPr>
            <w:r>
              <w:t>2014 - 2023</w:t>
            </w:r>
          </w:p>
        </w:tc>
        <w:tc>
          <w:tcPr>
            <w:tcW w:w="1020" w:type="dxa"/>
            <w:tcBorders>
              <w:top w:val="nil"/>
              <w:left w:val="nil"/>
              <w:bottom w:val="nil"/>
              <w:right w:val="nil"/>
            </w:tcBorders>
          </w:tcPr>
          <w:p w:rsidR="00BA1AFA" w:rsidRDefault="00BA1AFA">
            <w:pPr>
              <w:pStyle w:val="ConsPlusNormal"/>
              <w:jc w:val="center"/>
            </w:pPr>
            <w:r>
              <w:t>193,1</w:t>
            </w:r>
          </w:p>
        </w:tc>
        <w:tc>
          <w:tcPr>
            <w:tcW w:w="1077" w:type="dxa"/>
            <w:tcBorders>
              <w:top w:val="nil"/>
              <w:left w:val="nil"/>
              <w:bottom w:val="nil"/>
              <w:right w:val="nil"/>
            </w:tcBorders>
          </w:tcPr>
          <w:p w:rsidR="00BA1AFA" w:rsidRDefault="00BA1AFA">
            <w:pPr>
              <w:pStyle w:val="ConsPlusNormal"/>
              <w:jc w:val="center"/>
            </w:pPr>
            <w:r>
              <w:t>233,95</w:t>
            </w:r>
          </w:p>
        </w:tc>
        <w:tc>
          <w:tcPr>
            <w:tcW w:w="1020" w:type="dxa"/>
            <w:tcBorders>
              <w:top w:val="nil"/>
              <w:left w:val="nil"/>
              <w:bottom w:val="nil"/>
              <w:right w:val="nil"/>
            </w:tcBorders>
          </w:tcPr>
          <w:p w:rsidR="00BA1AFA" w:rsidRDefault="00BA1AFA">
            <w:pPr>
              <w:pStyle w:val="ConsPlusNormal"/>
              <w:jc w:val="center"/>
            </w:pPr>
            <w:r>
              <w:t>166,4</w:t>
            </w:r>
          </w:p>
        </w:tc>
        <w:tc>
          <w:tcPr>
            <w:tcW w:w="1134" w:type="dxa"/>
            <w:tcBorders>
              <w:top w:val="nil"/>
              <w:left w:val="nil"/>
              <w:bottom w:val="nil"/>
              <w:right w:val="nil"/>
            </w:tcBorders>
          </w:tcPr>
          <w:p w:rsidR="00BA1AFA" w:rsidRDefault="00BA1AFA">
            <w:pPr>
              <w:pStyle w:val="ConsPlusNormal"/>
              <w:jc w:val="center"/>
            </w:pPr>
            <w:r>
              <w:t>159,8</w:t>
            </w:r>
          </w:p>
        </w:tc>
        <w:tc>
          <w:tcPr>
            <w:tcW w:w="1077" w:type="dxa"/>
            <w:tcBorders>
              <w:top w:val="nil"/>
              <w:left w:val="nil"/>
              <w:bottom w:val="nil"/>
              <w:right w:val="nil"/>
            </w:tcBorders>
          </w:tcPr>
          <w:p w:rsidR="00BA1AFA" w:rsidRDefault="00BA1AFA">
            <w:pPr>
              <w:pStyle w:val="ConsPlusNormal"/>
              <w:jc w:val="center"/>
            </w:pPr>
            <w:r>
              <w:t>131,1</w:t>
            </w:r>
          </w:p>
        </w:tc>
        <w:tc>
          <w:tcPr>
            <w:tcW w:w="1134" w:type="dxa"/>
            <w:tcBorders>
              <w:top w:val="nil"/>
              <w:left w:val="nil"/>
              <w:bottom w:val="nil"/>
              <w:right w:val="nil"/>
            </w:tcBorders>
          </w:tcPr>
          <w:p w:rsidR="00BA1AFA" w:rsidRDefault="00BA1AFA">
            <w:pPr>
              <w:pStyle w:val="ConsPlusNormal"/>
              <w:jc w:val="center"/>
            </w:pPr>
            <w:r>
              <w:t>162,1</w:t>
            </w:r>
          </w:p>
        </w:tc>
        <w:tc>
          <w:tcPr>
            <w:tcW w:w="1134" w:type="dxa"/>
            <w:tcBorders>
              <w:top w:val="nil"/>
              <w:left w:val="nil"/>
              <w:bottom w:val="nil"/>
              <w:right w:val="nil"/>
            </w:tcBorders>
          </w:tcPr>
          <w:p w:rsidR="00BA1AFA" w:rsidRDefault="00BA1AFA">
            <w:pPr>
              <w:pStyle w:val="ConsPlusNormal"/>
              <w:jc w:val="center"/>
            </w:pPr>
            <w:r>
              <w:t>166,3</w:t>
            </w:r>
          </w:p>
        </w:tc>
        <w:tc>
          <w:tcPr>
            <w:tcW w:w="1134" w:type="dxa"/>
            <w:tcBorders>
              <w:top w:val="nil"/>
              <w:left w:val="nil"/>
              <w:bottom w:val="nil"/>
              <w:right w:val="nil"/>
            </w:tcBorders>
          </w:tcPr>
          <w:p w:rsidR="00BA1AFA" w:rsidRDefault="00BA1AFA">
            <w:pPr>
              <w:pStyle w:val="ConsPlusNormal"/>
              <w:jc w:val="center"/>
            </w:pPr>
            <w:r>
              <w:t>120,9</w:t>
            </w:r>
          </w:p>
        </w:tc>
        <w:tc>
          <w:tcPr>
            <w:tcW w:w="1077" w:type="dxa"/>
            <w:tcBorders>
              <w:top w:val="nil"/>
              <w:left w:val="nil"/>
              <w:bottom w:val="nil"/>
              <w:right w:val="nil"/>
            </w:tcBorders>
          </w:tcPr>
          <w:p w:rsidR="00BA1AFA" w:rsidRDefault="00BA1AFA">
            <w:pPr>
              <w:pStyle w:val="ConsPlusNormal"/>
              <w:jc w:val="center"/>
            </w:pPr>
            <w:r>
              <w:t>79,8</w:t>
            </w:r>
          </w:p>
        </w:tc>
        <w:tc>
          <w:tcPr>
            <w:tcW w:w="1134" w:type="dxa"/>
            <w:tcBorders>
              <w:top w:val="nil"/>
              <w:left w:val="nil"/>
              <w:bottom w:val="nil"/>
              <w:right w:val="nil"/>
            </w:tcBorders>
          </w:tcPr>
          <w:p w:rsidR="00BA1AFA" w:rsidRDefault="00BA1AFA">
            <w:pPr>
              <w:pStyle w:val="ConsPlusNormal"/>
              <w:jc w:val="center"/>
            </w:pPr>
            <w:r>
              <w:t>79,8</w:t>
            </w:r>
          </w:p>
        </w:tc>
        <w:tc>
          <w:tcPr>
            <w:tcW w:w="1134" w:type="dxa"/>
            <w:tcBorders>
              <w:top w:val="nil"/>
              <w:left w:val="nil"/>
              <w:bottom w:val="nil"/>
              <w:right w:val="nil"/>
            </w:tcBorders>
          </w:tcPr>
          <w:p w:rsidR="00BA1AFA" w:rsidRDefault="00BA1AFA">
            <w:pPr>
              <w:pStyle w:val="ConsPlusNormal"/>
              <w:jc w:val="center"/>
            </w:pPr>
            <w:r>
              <w:t>1493,3</w:t>
            </w:r>
          </w:p>
        </w:tc>
        <w:tc>
          <w:tcPr>
            <w:tcW w:w="2608" w:type="dxa"/>
            <w:tcBorders>
              <w:top w:val="nil"/>
              <w:left w:val="nil"/>
              <w:bottom w:val="nil"/>
              <w:right w:val="nil"/>
            </w:tcBorders>
          </w:tcPr>
          <w:p w:rsidR="00BA1AFA" w:rsidRDefault="00BA1AFA">
            <w:pPr>
              <w:pStyle w:val="ConsPlusNormal"/>
              <w:jc w:val="both"/>
            </w:pPr>
            <w:r>
              <w:t>Показатели: п. 26, 27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3.</w:t>
            </w:r>
          </w:p>
        </w:tc>
        <w:tc>
          <w:tcPr>
            <w:tcW w:w="3219" w:type="dxa"/>
            <w:tcBorders>
              <w:top w:val="nil"/>
              <w:left w:val="nil"/>
              <w:bottom w:val="nil"/>
              <w:right w:val="nil"/>
            </w:tcBorders>
          </w:tcPr>
          <w:p w:rsidR="00BA1AFA" w:rsidRDefault="00BA1AFA">
            <w:pPr>
              <w:pStyle w:val="ConsPlusNormal"/>
              <w:jc w:val="both"/>
            </w:pPr>
            <w:r>
              <w:t xml:space="preserve">Проведение мероприятий по обновлению средств криптографической защиты информации для МУФ СО, органов исполнительной власти (государственных органов) и государственных учреждений </w:t>
            </w:r>
            <w:r>
              <w:lastRenderedPageBreak/>
              <w:t>Самарской области, являющихся участниками юридически значимого электронного документооборота МУФ СО</w:t>
            </w:r>
          </w:p>
        </w:tc>
        <w:tc>
          <w:tcPr>
            <w:tcW w:w="1248" w:type="dxa"/>
            <w:tcBorders>
              <w:top w:val="nil"/>
              <w:left w:val="nil"/>
              <w:bottom w:val="nil"/>
              <w:right w:val="nil"/>
            </w:tcBorders>
          </w:tcPr>
          <w:p w:rsidR="00BA1AFA" w:rsidRDefault="00BA1AFA">
            <w:pPr>
              <w:pStyle w:val="ConsPlusNormal"/>
              <w:jc w:val="center"/>
            </w:pPr>
            <w:r>
              <w:lastRenderedPageBreak/>
              <w:t>МУФ СО</w:t>
            </w:r>
          </w:p>
        </w:tc>
        <w:tc>
          <w:tcPr>
            <w:tcW w:w="993" w:type="dxa"/>
            <w:tcBorders>
              <w:top w:val="nil"/>
              <w:left w:val="nil"/>
              <w:bottom w:val="nil"/>
              <w:right w:val="nil"/>
            </w:tcBorders>
          </w:tcPr>
          <w:p w:rsidR="00BA1AFA" w:rsidRDefault="00BA1AFA">
            <w:pPr>
              <w:pStyle w:val="ConsPlusNormal"/>
              <w:jc w:val="center"/>
            </w:pPr>
            <w:r>
              <w:t>2017</w:t>
            </w:r>
          </w:p>
        </w:tc>
        <w:tc>
          <w:tcPr>
            <w:tcW w:w="1020" w:type="dxa"/>
            <w:tcBorders>
              <w:top w:val="nil"/>
              <w:left w:val="nil"/>
              <w:bottom w:val="nil"/>
              <w:right w:val="nil"/>
            </w:tcBorders>
          </w:tcPr>
          <w:p w:rsidR="00BA1AFA" w:rsidRDefault="00BA1AFA">
            <w:pPr>
              <w:pStyle w:val="ConsPlusNormal"/>
              <w:jc w:val="center"/>
            </w:pPr>
            <w:r>
              <w:t>0,0</w:t>
            </w:r>
          </w:p>
        </w:tc>
        <w:tc>
          <w:tcPr>
            <w:tcW w:w="1077" w:type="dxa"/>
            <w:tcBorders>
              <w:top w:val="nil"/>
              <w:left w:val="nil"/>
              <w:bottom w:val="nil"/>
              <w:right w:val="nil"/>
            </w:tcBorders>
          </w:tcPr>
          <w:p w:rsidR="00BA1AFA" w:rsidRDefault="00BA1AFA">
            <w:pPr>
              <w:pStyle w:val="ConsPlusNormal"/>
              <w:jc w:val="center"/>
            </w:pPr>
            <w:r>
              <w:t>0,0</w:t>
            </w:r>
          </w:p>
        </w:tc>
        <w:tc>
          <w:tcPr>
            <w:tcW w:w="1020"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2,1</w:t>
            </w:r>
          </w:p>
        </w:tc>
        <w:tc>
          <w:tcPr>
            <w:tcW w:w="1077"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jc w:val="center"/>
            </w:pPr>
            <w:r>
              <w:t>0,0</w:t>
            </w:r>
          </w:p>
        </w:tc>
        <w:tc>
          <w:tcPr>
            <w:tcW w:w="1077" w:type="dxa"/>
            <w:tcBorders>
              <w:top w:val="nil"/>
              <w:left w:val="nil"/>
              <w:bottom w:val="nil"/>
              <w:right w:val="nil"/>
            </w:tcBorders>
          </w:tcPr>
          <w:p w:rsidR="00BA1AFA" w:rsidRDefault="00BA1AFA">
            <w:pPr>
              <w:pStyle w:val="ConsPlusNormal"/>
              <w:jc w:val="center"/>
            </w:pPr>
            <w:r>
              <w:t>0,0</w:t>
            </w:r>
          </w:p>
        </w:tc>
        <w:tc>
          <w:tcPr>
            <w:tcW w:w="1134" w:type="dxa"/>
            <w:tcBorders>
              <w:top w:val="nil"/>
              <w:left w:val="nil"/>
              <w:bottom w:val="nil"/>
              <w:right w:val="nil"/>
            </w:tcBorders>
          </w:tcPr>
          <w:p w:rsidR="00BA1AFA" w:rsidRDefault="00BA1AFA">
            <w:pPr>
              <w:pStyle w:val="ConsPlusNormal"/>
            </w:pPr>
          </w:p>
        </w:tc>
        <w:tc>
          <w:tcPr>
            <w:tcW w:w="1134" w:type="dxa"/>
            <w:tcBorders>
              <w:top w:val="nil"/>
              <w:left w:val="nil"/>
              <w:bottom w:val="nil"/>
              <w:right w:val="nil"/>
            </w:tcBorders>
          </w:tcPr>
          <w:p w:rsidR="00BA1AFA" w:rsidRDefault="00BA1AFA">
            <w:pPr>
              <w:pStyle w:val="ConsPlusNormal"/>
              <w:jc w:val="center"/>
            </w:pPr>
            <w:r>
              <w:t>2,1</w:t>
            </w:r>
          </w:p>
        </w:tc>
        <w:tc>
          <w:tcPr>
            <w:tcW w:w="2608" w:type="dxa"/>
            <w:tcBorders>
              <w:top w:val="nil"/>
              <w:left w:val="nil"/>
              <w:bottom w:val="nil"/>
              <w:right w:val="nil"/>
            </w:tcBorders>
          </w:tcPr>
          <w:p w:rsidR="00BA1AFA" w:rsidRDefault="00BA1AFA">
            <w:pPr>
              <w:pStyle w:val="ConsPlusNormal"/>
              <w:jc w:val="both"/>
            </w:pPr>
            <w:r>
              <w:t>Показатель - п. 28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pPr>
          </w:p>
        </w:tc>
        <w:tc>
          <w:tcPr>
            <w:tcW w:w="3219" w:type="dxa"/>
            <w:tcBorders>
              <w:top w:val="nil"/>
              <w:left w:val="nil"/>
              <w:bottom w:val="nil"/>
              <w:right w:val="nil"/>
            </w:tcBorders>
          </w:tcPr>
          <w:p w:rsidR="00BA1AFA" w:rsidRDefault="00BA1AFA">
            <w:pPr>
              <w:pStyle w:val="ConsPlusNormal"/>
            </w:pPr>
            <w:r>
              <w:t>Итого по подпрограмме</w:t>
            </w:r>
          </w:p>
        </w:tc>
        <w:tc>
          <w:tcPr>
            <w:tcW w:w="1248" w:type="dxa"/>
            <w:tcBorders>
              <w:top w:val="nil"/>
              <w:left w:val="nil"/>
              <w:bottom w:val="nil"/>
              <w:right w:val="nil"/>
            </w:tcBorders>
          </w:tcPr>
          <w:p w:rsidR="00BA1AFA" w:rsidRDefault="00BA1AFA">
            <w:pPr>
              <w:pStyle w:val="ConsPlusNormal"/>
            </w:pPr>
          </w:p>
        </w:tc>
        <w:tc>
          <w:tcPr>
            <w:tcW w:w="993" w:type="dxa"/>
            <w:tcBorders>
              <w:top w:val="nil"/>
              <w:left w:val="nil"/>
              <w:bottom w:val="nil"/>
              <w:right w:val="nil"/>
            </w:tcBorders>
          </w:tcPr>
          <w:p w:rsidR="00BA1AFA" w:rsidRDefault="00BA1AFA">
            <w:pPr>
              <w:pStyle w:val="ConsPlusNormal"/>
            </w:pPr>
          </w:p>
        </w:tc>
        <w:tc>
          <w:tcPr>
            <w:tcW w:w="1020" w:type="dxa"/>
            <w:tcBorders>
              <w:top w:val="nil"/>
              <w:left w:val="nil"/>
              <w:bottom w:val="nil"/>
              <w:right w:val="nil"/>
            </w:tcBorders>
          </w:tcPr>
          <w:p w:rsidR="00BA1AFA" w:rsidRDefault="00BA1AFA">
            <w:pPr>
              <w:pStyle w:val="ConsPlusNormal"/>
              <w:jc w:val="center"/>
            </w:pPr>
            <w:r>
              <w:t>196,1</w:t>
            </w:r>
          </w:p>
        </w:tc>
        <w:tc>
          <w:tcPr>
            <w:tcW w:w="1077" w:type="dxa"/>
            <w:tcBorders>
              <w:top w:val="nil"/>
              <w:left w:val="nil"/>
              <w:bottom w:val="nil"/>
              <w:right w:val="nil"/>
            </w:tcBorders>
          </w:tcPr>
          <w:p w:rsidR="00BA1AFA" w:rsidRDefault="00BA1AFA">
            <w:pPr>
              <w:pStyle w:val="ConsPlusNormal"/>
              <w:jc w:val="center"/>
            </w:pPr>
            <w:r>
              <w:t>234,5</w:t>
            </w:r>
          </w:p>
        </w:tc>
        <w:tc>
          <w:tcPr>
            <w:tcW w:w="1020" w:type="dxa"/>
            <w:tcBorders>
              <w:top w:val="nil"/>
              <w:left w:val="nil"/>
              <w:bottom w:val="nil"/>
              <w:right w:val="nil"/>
            </w:tcBorders>
          </w:tcPr>
          <w:p w:rsidR="00BA1AFA" w:rsidRDefault="00BA1AFA">
            <w:pPr>
              <w:pStyle w:val="ConsPlusNormal"/>
              <w:jc w:val="center"/>
            </w:pPr>
            <w:r>
              <w:t>170,5</w:t>
            </w:r>
          </w:p>
        </w:tc>
        <w:tc>
          <w:tcPr>
            <w:tcW w:w="1134" w:type="dxa"/>
            <w:tcBorders>
              <w:top w:val="nil"/>
              <w:left w:val="nil"/>
              <w:bottom w:val="nil"/>
              <w:right w:val="nil"/>
            </w:tcBorders>
          </w:tcPr>
          <w:p w:rsidR="00BA1AFA" w:rsidRDefault="00BA1AFA">
            <w:pPr>
              <w:pStyle w:val="ConsPlusNormal"/>
              <w:jc w:val="center"/>
            </w:pPr>
            <w:r>
              <w:t>161,9</w:t>
            </w:r>
          </w:p>
        </w:tc>
        <w:tc>
          <w:tcPr>
            <w:tcW w:w="1077" w:type="dxa"/>
            <w:tcBorders>
              <w:top w:val="nil"/>
              <w:left w:val="nil"/>
              <w:bottom w:val="nil"/>
              <w:right w:val="nil"/>
            </w:tcBorders>
          </w:tcPr>
          <w:p w:rsidR="00BA1AFA" w:rsidRDefault="00BA1AFA">
            <w:pPr>
              <w:pStyle w:val="ConsPlusNormal"/>
              <w:jc w:val="center"/>
            </w:pPr>
            <w:r>
              <w:t>131,1</w:t>
            </w:r>
          </w:p>
        </w:tc>
        <w:tc>
          <w:tcPr>
            <w:tcW w:w="1134" w:type="dxa"/>
            <w:tcBorders>
              <w:top w:val="nil"/>
              <w:left w:val="nil"/>
              <w:bottom w:val="nil"/>
              <w:right w:val="nil"/>
            </w:tcBorders>
          </w:tcPr>
          <w:p w:rsidR="00BA1AFA" w:rsidRDefault="00BA1AFA">
            <w:pPr>
              <w:pStyle w:val="ConsPlusNormal"/>
              <w:jc w:val="center"/>
            </w:pPr>
            <w:r>
              <w:t>162,1</w:t>
            </w:r>
          </w:p>
        </w:tc>
        <w:tc>
          <w:tcPr>
            <w:tcW w:w="1134" w:type="dxa"/>
            <w:tcBorders>
              <w:top w:val="nil"/>
              <w:left w:val="nil"/>
              <w:bottom w:val="nil"/>
              <w:right w:val="nil"/>
            </w:tcBorders>
          </w:tcPr>
          <w:p w:rsidR="00BA1AFA" w:rsidRDefault="00BA1AFA">
            <w:pPr>
              <w:pStyle w:val="ConsPlusNormal"/>
              <w:jc w:val="center"/>
            </w:pPr>
            <w:r>
              <w:t>166,3</w:t>
            </w:r>
          </w:p>
        </w:tc>
        <w:tc>
          <w:tcPr>
            <w:tcW w:w="1134" w:type="dxa"/>
            <w:tcBorders>
              <w:top w:val="nil"/>
              <w:left w:val="nil"/>
              <w:bottom w:val="nil"/>
              <w:right w:val="nil"/>
            </w:tcBorders>
          </w:tcPr>
          <w:p w:rsidR="00BA1AFA" w:rsidRDefault="00BA1AFA">
            <w:pPr>
              <w:pStyle w:val="ConsPlusNormal"/>
              <w:jc w:val="center"/>
            </w:pPr>
            <w:r>
              <w:t>120,9</w:t>
            </w:r>
          </w:p>
        </w:tc>
        <w:tc>
          <w:tcPr>
            <w:tcW w:w="1077" w:type="dxa"/>
            <w:tcBorders>
              <w:top w:val="nil"/>
              <w:left w:val="nil"/>
              <w:bottom w:val="nil"/>
              <w:right w:val="nil"/>
            </w:tcBorders>
          </w:tcPr>
          <w:p w:rsidR="00BA1AFA" w:rsidRDefault="00BA1AFA">
            <w:pPr>
              <w:pStyle w:val="ConsPlusNormal"/>
              <w:jc w:val="center"/>
            </w:pPr>
            <w:r>
              <w:t>79,8</w:t>
            </w:r>
          </w:p>
        </w:tc>
        <w:tc>
          <w:tcPr>
            <w:tcW w:w="1134" w:type="dxa"/>
            <w:tcBorders>
              <w:top w:val="nil"/>
              <w:left w:val="nil"/>
              <w:bottom w:val="nil"/>
              <w:right w:val="nil"/>
            </w:tcBorders>
          </w:tcPr>
          <w:p w:rsidR="00BA1AFA" w:rsidRDefault="00BA1AFA">
            <w:pPr>
              <w:pStyle w:val="ConsPlusNormal"/>
              <w:jc w:val="center"/>
            </w:pPr>
            <w:r>
              <w:t>79,8</w:t>
            </w:r>
          </w:p>
        </w:tc>
        <w:tc>
          <w:tcPr>
            <w:tcW w:w="1134" w:type="dxa"/>
            <w:tcBorders>
              <w:top w:val="nil"/>
              <w:left w:val="nil"/>
              <w:bottom w:val="nil"/>
              <w:right w:val="nil"/>
            </w:tcBorders>
          </w:tcPr>
          <w:p w:rsidR="00BA1AFA" w:rsidRDefault="00BA1AFA">
            <w:pPr>
              <w:pStyle w:val="ConsPlusNormal"/>
              <w:jc w:val="center"/>
            </w:pPr>
            <w:r>
              <w:t>1503,0</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2"/>
            </w:pPr>
            <w:r>
              <w:t>Подпрограмма "Организация и осуществление внутреннего государственного финансового контроля, мониторинга внутреннего финансового контроля и внутреннего финансового аудита,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Самарской области, а также в случаях, предусмотренных действующим законодательством, для обеспечения муниципальных нужд муниципальных образований в Самарской области (контроля в сфере закупок)" на 2019 - 2023 годы</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3"/>
            </w:pPr>
            <w:r>
              <w:t>Цель. Обеспечение осуществления внутреннего государственного финансового контроля, контроля в сфере закупок, а также мониторинга внутреннего финансового контроля и внутреннего финансового аудита</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1. Организация и осуществление внутреннего государственного контроля в финансово-бюджетной сфере, мониторинга внутреннего финансового контроля и внутреннего финансового аудита</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1.</w:t>
            </w:r>
          </w:p>
        </w:tc>
        <w:tc>
          <w:tcPr>
            <w:tcW w:w="3219" w:type="dxa"/>
            <w:tcBorders>
              <w:top w:val="nil"/>
              <w:left w:val="nil"/>
              <w:bottom w:val="nil"/>
              <w:right w:val="nil"/>
            </w:tcBorders>
          </w:tcPr>
          <w:p w:rsidR="00BA1AFA" w:rsidRDefault="00BA1AFA">
            <w:pPr>
              <w:pStyle w:val="ConsPlusNormal"/>
              <w:jc w:val="both"/>
            </w:pPr>
            <w:r>
              <w:t>Проведение контрольных мероприятий (проверок, ревизий, обследований)</w:t>
            </w:r>
          </w:p>
        </w:tc>
        <w:tc>
          <w:tcPr>
            <w:tcW w:w="1248" w:type="dxa"/>
            <w:tcBorders>
              <w:top w:val="nil"/>
              <w:left w:val="nil"/>
              <w:bottom w:val="nil"/>
              <w:right w:val="nil"/>
            </w:tcBorders>
          </w:tcPr>
          <w:p w:rsidR="00BA1AFA" w:rsidRDefault="00BA1AFA">
            <w:pPr>
              <w:pStyle w:val="ConsPlusNormal"/>
              <w:jc w:val="center"/>
            </w:pPr>
            <w:r>
              <w:t>Государственная инспекция финансового контроля Самарской области (далее - финансовая инспекция)</w:t>
            </w:r>
          </w:p>
        </w:tc>
        <w:tc>
          <w:tcPr>
            <w:tcW w:w="993" w:type="dxa"/>
            <w:tcBorders>
              <w:top w:val="nil"/>
              <w:left w:val="nil"/>
              <w:bottom w:val="nil"/>
              <w:right w:val="nil"/>
            </w:tcBorders>
          </w:tcPr>
          <w:p w:rsidR="00BA1AFA" w:rsidRDefault="00BA1AFA">
            <w:pPr>
              <w:pStyle w:val="ConsPlusNormal"/>
              <w:jc w:val="center"/>
            </w:pPr>
            <w:r>
              <w:t>2019 - 2023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финансовой инспекции</w:t>
            </w:r>
          </w:p>
        </w:tc>
        <w:tc>
          <w:tcPr>
            <w:tcW w:w="2608" w:type="dxa"/>
            <w:tcBorders>
              <w:top w:val="nil"/>
              <w:left w:val="nil"/>
              <w:bottom w:val="nil"/>
              <w:right w:val="nil"/>
            </w:tcBorders>
          </w:tcPr>
          <w:p w:rsidR="00BA1AFA" w:rsidRDefault="00BA1AFA">
            <w:pPr>
              <w:pStyle w:val="ConsPlusNormal"/>
              <w:jc w:val="both"/>
            </w:pPr>
            <w:r>
              <w:t>Показатель - п. 29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2.</w:t>
            </w:r>
          </w:p>
        </w:tc>
        <w:tc>
          <w:tcPr>
            <w:tcW w:w="3219" w:type="dxa"/>
            <w:tcBorders>
              <w:top w:val="nil"/>
              <w:left w:val="nil"/>
              <w:bottom w:val="nil"/>
              <w:right w:val="nil"/>
            </w:tcBorders>
          </w:tcPr>
          <w:p w:rsidR="00BA1AFA" w:rsidRDefault="00BA1AFA">
            <w:pPr>
              <w:pStyle w:val="ConsPlusNormal"/>
              <w:jc w:val="both"/>
            </w:pPr>
            <w:r>
              <w:t>Мониторинг осуществления главными администраторами бюджетных средств внутреннего финансового контроля и внутреннего финансового аудита</w:t>
            </w:r>
          </w:p>
        </w:tc>
        <w:tc>
          <w:tcPr>
            <w:tcW w:w="1248" w:type="dxa"/>
            <w:tcBorders>
              <w:top w:val="nil"/>
              <w:left w:val="nil"/>
              <w:bottom w:val="nil"/>
              <w:right w:val="nil"/>
            </w:tcBorders>
          </w:tcPr>
          <w:p w:rsidR="00BA1AFA" w:rsidRDefault="00BA1AFA">
            <w:pPr>
              <w:pStyle w:val="ConsPlusNormal"/>
              <w:jc w:val="center"/>
            </w:pPr>
            <w:r>
              <w:t>Финансовая инспекция</w:t>
            </w:r>
          </w:p>
        </w:tc>
        <w:tc>
          <w:tcPr>
            <w:tcW w:w="993" w:type="dxa"/>
            <w:tcBorders>
              <w:top w:val="nil"/>
              <w:left w:val="nil"/>
              <w:bottom w:val="nil"/>
              <w:right w:val="nil"/>
            </w:tcBorders>
          </w:tcPr>
          <w:p w:rsidR="00BA1AFA" w:rsidRDefault="00BA1AFA">
            <w:pPr>
              <w:pStyle w:val="ConsPlusNormal"/>
              <w:jc w:val="center"/>
            </w:pPr>
            <w:r>
              <w:t>2019 - 2023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финансовой инспекции</w:t>
            </w:r>
          </w:p>
        </w:tc>
        <w:tc>
          <w:tcPr>
            <w:tcW w:w="2608" w:type="dxa"/>
            <w:tcBorders>
              <w:top w:val="nil"/>
              <w:left w:val="nil"/>
              <w:bottom w:val="nil"/>
              <w:right w:val="nil"/>
            </w:tcBorders>
          </w:tcPr>
          <w:p w:rsidR="00BA1AFA" w:rsidRDefault="00BA1AFA">
            <w:pPr>
              <w:pStyle w:val="ConsPlusNormal"/>
              <w:jc w:val="both"/>
            </w:pPr>
            <w:r>
              <w:t>Показатель - п. 30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 xml:space="preserve">Задача 2. Организация и осуществление контроля в сфере закупок органом, уполномоченным на осуществление контроля в сфере закупок, в соответствии с </w:t>
            </w:r>
            <w:hyperlink r:id="rId21" w:history="1">
              <w:r>
                <w:rPr>
                  <w:color w:val="0000FF"/>
                </w:rPr>
                <w:t>частями 3</w:t>
              </w:r>
            </w:hyperlink>
            <w:r>
              <w:t xml:space="preserve">, </w:t>
            </w:r>
            <w:hyperlink r:id="rId22" w:history="1">
              <w:r>
                <w:rPr>
                  <w:color w:val="0000FF"/>
                </w:rPr>
                <w:t>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lastRenderedPageBreak/>
              <w:t>3.</w:t>
            </w:r>
          </w:p>
        </w:tc>
        <w:tc>
          <w:tcPr>
            <w:tcW w:w="3219" w:type="dxa"/>
            <w:tcBorders>
              <w:top w:val="nil"/>
              <w:left w:val="nil"/>
              <w:bottom w:val="nil"/>
              <w:right w:val="nil"/>
            </w:tcBorders>
          </w:tcPr>
          <w:p w:rsidR="00BA1AFA" w:rsidRDefault="00BA1AFA">
            <w:pPr>
              <w:pStyle w:val="ConsPlusNormal"/>
              <w:jc w:val="both"/>
            </w:pPr>
            <w:r>
              <w:t xml:space="preserve">Проведение мероприятий по контролю в сфере закупок, предусмотренному </w:t>
            </w:r>
            <w:hyperlink r:id="rId23" w:history="1">
              <w:r>
                <w:rPr>
                  <w:color w:val="0000FF"/>
                </w:rPr>
                <w:t>частью 3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248" w:type="dxa"/>
            <w:tcBorders>
              <w:top w:val="nil"/>
              <w:left w:val="nil"/>
              <w:bottom w:val="nil"/>
              <w:right w:val="nil"/>
            </w:tcBorders>
          </w:tcPr>
          <w:p w:rsidR="00BA1AFA" w:rsidRDefault="00BA1AFA">
            <w:pPr>
              <w:pStyle w:val="ConsPlusNormal"/>
              <w:jc w:val="center"/>
            </w:pPr>
            <w:r>
              <w:t>Финансовая инспекция</w:t>
            </w:r>
          </w:p>
        </w:tc>
        <w:tc>
          <w:tcPr>
            <w:tcW w:w="993" w:type="dxa"/>
            <w:tcBorders>
              <w:top w:val="nil"/>
              <w:left w:val="nil"/>
              <w:bottom w:val="nil"/>
              <w:right w:val="nil"/>
            </w:tcBorders>
          </w:tcPr>
          <w:p w:rsidR="00BA1AFA" w:rsidRDefault="00BA1AFA">
            <w:pPr>
              <w:pStyle w:val="ConsPlusNormal"/>
              <w:jc w:val="center"/>
            </w:pPr>
            <w:r>
              <w:t>2019 - 2023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финансовой инспекции</w:t>
            </w:r>
          </w:p>
        </w:tc>
        <w:tc>
          <w:tcPr>
            <w:tcW w:w="2608" w:type="dxa"/>
            <w:tcBorders>
              <w:top w:val="nil"/>
              <w:left w:val="nil"/>
              <w:bottom w:val="nil"/>
              <w:right w:val="nil"/>
            </w:tcBorders>
          </w:tcPr>
          <w:p w:rsidR="00BA1AFA" w:rsidRDefault="00BA1AFA">
            <w:pPr>
              <w:pStyle w:val="ConsPlusNormal"/>
              <w:jc w:val="both"/>
            </w:pPr>
            <w:r>
              <w:t>Показатель - п. 31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4.</w:t>
            </w:r>
          </w:p>
        </w:tc>
        <w:tc>
          <w:tcPr>
            <w:tcW w:w="3219" w:type="dxa"/>
            <w:tcBorders>
              <w:top w:val="nil"/>
              <w:left w:val="nil"/>
              <w:bottom w:val="nil"/>
              <w:right w:val="nil"/>
            </w:tcBorders>
          </w:tcPr>
          <w:p w:rsidR="00BA1AFA" w:rsidRDefault="00BA1AFA">
            <w:pPr>
              <w:pStyle w:val="ConsPlusNormal"/>
              <w:jc w:val="both"/>
            </w:pPr>
            <w:r>
              <w:t xml:space="preserve">Осуществление контроля, предусмотренного </w:t>
            </w:r>
            <w:hyperlink r:id="rId24" w:history="1">
              <w:r>
                <w:rPr>
                  <w:color w:val="0000FF"/>
                </w:rPr>
                <w:t>частью 8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248" w:type="dxa"/>
            <w:tcBorders>
              <w:top w:val="nil"/>
              <w:left w:val="nil"/>
              <w:bottom w:val="nil"/>
              <w:right w:val="nil"/>
            </w:tcBorders>
          </w:tcPr>
          <w:p w:rsidR="00BA1AFA" w:rsidRDefault="00BA1AFA">
            <w:pPr>
              <w:pStyle w:val="ConsPlusNormal"/>
              <w:jc w:val="center"/>
            </w:pPr>
            <w:r>
              <w:t>Финансовая инспекция</w:t>
            </w:r>
          </w:p>
        </w:tc>
        <w:tc>
          <w:tcPr>
            <w:tcW w:w="993" w:type="dxa"/>
            <w:tcBorders>
              <w:top w:val="nil"/>
              <w:left w:val="nil"/>
              <w:bottom w:val="nil"/>
              <w:right w:val="nil"/>
            </w:tcBorders>
          </w:tcPr>
          <w:p w:rsidR="00BA1AFA" w:rsidRDefault="00BA1AFA">
            <w:pPr>
              <w:pStyle w:val="ConsPlusNormal"/>
              <w:jc w:val="center"/>
            </w:pPr>
            <w:r>
              <w:t>2019 - 2023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финансовой инспекции</w:t>
            </w:r>
          </w:p>
        </w:tc>
        <w:tc>
          <w:tcPr>
            <w:tcW w:w="2608" w:type="dxa"/>
            <w:tcBorders>
              <w:top w:val="nil"/>
              <w:left w:val="nil"/>
              <w:bottom w:val="nil"/>
              <w:right w:val="nil"/>
            </w:tcBorders>
          </w:tcPr>
          <w:p w:rsidR="00BA1AFA" w:rsidRDefault="00BA1AFA">
            <w:pPr>
              <w:pStyle w:val="ConsPlusNormal"/>
              <w:jc w:val="both"/>
            </w:pPr>
            <w:r>
              <w:t>Показатель - п. 32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20695" w:type="dxa"/>
            <w:gridSpan w:val="16"/>
            <w:tcBorders>
              <w:top w:val="nil"/>
              <w:left w:val="nil"/>
              <w:bottom w:val="nil"/>
              <w:right w:val="nil"/>
            </w:tcBorders>
          </w:tcPr>
          <w:p w:rsidR="00BA1AFA" w:rsidRDefault="00BA1AFA">
            <w:pPr>
              <w:pStyle w:val="ConsPlusNormal"/>
              <w:jc w:val="center"/>
              <w:outlineLvl w:val="4"/>
            </w:pPr>
            <w:r>
              <w:t>Задача 3. Применение в рамках компетенции государственной инспекции финансового контроля Самарской области мер ответственности в отношении лиц, совершивших нарушения в финансово-бюджетной сфере и сфере закупок</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jc w:val="center"/>
            </w:pPr>
            <w:r>
              <w:t>5.</w:t>
            </w:r>
          </w:p>
        </w:tc>
        <w:tc>
          <w:tcPr>
            <w:tcW w:w="3219" w:type="dxa"/>
            <w:tcBorders>
              <w:top w:val="nil"/>
              <w:left w:val="nil"/>
              <w:bottom w:val="nil"/>
              <w:right w:val="nil"/>
            </w:tcBorders>
          </w:tcPr>
          <w:p w:rsidR="00BA1AFA" w:rsidRDefault="00BA1AFA">
            <w:pPr>
              <w:pStyle w:val="ConsPlusNormal"/>
              <w:jc w:val="both"/>
            </w:pPr>
            <w:r>
              <w:t>Осуществление производства по делам об административных правонарушениях в пределах полномочий органа, осуществляющего функции по контролю в финансово-бюджетной сфере, а также сфере закупок в соответствии с законодательством Российской Федерации о контрактной системе в сфере закупок</w:t>
            </w:r>
          </w:p>
        </w:tc>
        <w:tc>
          <w:tcPr>
            <w:tcW w:w="1248" w:type="dxa"/>
            <w:tcBorders>
              <w:top w:val="nil"/>
              <w:left w:val="nil"/>
              <w:bottom w:val="nil"/>
              <w:right w:val="nil"/>
            </w:tcBorders>
          </w:tcPr>
          <w:p w:rsidR="00BA1AFA" w:rsidRDefault="00BA1AFA">
            <w:pPr>
              <w:pStyle w:val="ConsPlusNormal"/>
              <w:jc w:val="center"/>
            </w:pPr>
            <w:r>
              <w:t>Финансовая инспекция</w:t>
            </w:r>
          </w:p>
        </w:tc>
        <w:tc>
          <w:tcPr>
            <w:tcW w:w="993" w:type="dxa"/>
            <w:tcBorders>
              <w:top w:val="nil"/>
              <w:left w:val="nil"/>
              <w:bottom w:val="nil"/>
              <w:right w:val="nil"/>
            </w:tcBorders>
          </w:tcPr>
          <w:p w:rsidR="00BA1AFA" w:rsidRDefault="00BA1AFA">
            <w:pPr>
              <w:pStyle w:val="ConsPlusNormal"/>
              <w:jc w:val="center"/>
            </w:pPr>
            <w:r>
              <w:t>2019 - 2023</w:t>
            </w:r>
          </w:p>
        </w:tc>
        <w:tc>
          <w:tcPr>
            <w:tcW w:w="12075" w:type="dxa"/>
            <w:gridSpan w:val="11"/>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финансовой инспекции</w:t>
            </w:r>
          </w:p>
        </w:tc>
        <w:tc>
          <w:tcPr>
            <w:tcW w:w="2608" w:type="dxa"/>
            <w:tcBorders>
              <w:top w:val="nil"/>
              <w:left w:val="nil"/>
              <w:bottom w:val="nil"/>
              <w:right w:val="nil"/>
            </w:tcBorders>
          </w:tcPr>
          <w:p w:rsidR="00BA1AFA" w:rsidRDefault="00BA1AFA">
            <w:pPr>
              <w:pStyle w:val="ConsPlusNormal"/>
              <w:jc w:val="both"/>
            </w:pPr>
            <w:r>
              <w:t>Показатель - п. 33 приложения 1 к Государственной программе</w:t>
            </w: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pPr>
          </w:p>
        </w:tc>
        <w:tc>
          <w:tcPr>
            <w:tcW w:w="3219" w:type="dxa"/>
            <w:tcBorders>
              <w:top w:val="nil"/>
              <w:left w:val="nil"/>
              <w:bottom w:val="nil"/>
              <w:right w:val="nil"/>
            </w:tcBorders>
          </w:tcPr>
          <w:p w:rsidR="00BA1AFA" w:rsidRDefault="00BA1AFA">
            <w:pPr>
              <w:pStyle w:val="ConsPlusNormal"/>
            </w:pPr>
            <w:r>
              <w:t>Итого по подпрограмме</w:t>
            </w:r>
          </w:p>
        </w:tc>
        <w:tc>
          <w:tcPr>
            <w:tcW w:w="1248" w:type="dxa"/>
            <w:tcBorders>
              <w:top w:val="nil"/>
              <w:left w:val="nil"/>
              <w:bottom w:val="nil"/>
              <w:right w:val="nil"/>
            </w:tcBorders>
          </w:tcPr>
          <w:p w:rsidR="00BA1AFA" w:rsidRDefault="00BA1AFA">
            <w:pPr>
              <w:pStyle w:val="ConsPlusNormal"/>
            </w:pPr>
          </w:p>
        </w:tc>
        <w:tc>
          <w:tcPr>
            <w:tcW w:w="993" w:type="dxa"/>
            <w:tcBorders>
              <w:top w:val="nil"/>
              <w:left w:val="nil"/>
              <w:bottom w:val="nil"/>
              <w:right w:val="nil"/>
            </w:tcBorders>
          </w:tcPr>
          <w:p w:rsidR="00BA1AFA" w:rsidRDefault="00BA1AFA">
            <w:pPr>
              <w:pStyle w:val="ConsPlusNormal"/>
            </w:pPr>
          </w:p>
        </w:tc>
        <w:tc>
          <w:tcPr>
            <w:tcW w:w="1020" w:type="dxa"/>
            <w:tcBorders>
              <w:top w:val="nil"/>
              <w:left w:val="nil"/>
              <w:bottom w:val="nil"/>
              <w:right w:val="nil"/>
            </w:tcBorders>
          </w:tcPr>
          <w:p w:rsidR="00BA1AFA" w:rsidRDefault="00BA1AFA">
            <w:pPr>
              <w:pStyle w:val="ConsPlusNormal"/>
            </w:pPr>
          </w:p>
        </w:tc>
        <w:tc>
          <w:tcPr>
            <w:tcW w:w="11055" w:type="dxa"/>
            <w:gridSpan w:val="10"/>
            <w:tcBorders>
              <w:top w:val="nil"/>
              <w:left w:val="nil"/>
              <w:bottom w:val="nil"/>
              <w:right w:val="nil"/>
            </w:tcBorders>
          </w:tcPr>
          <w:p w:rsidR="00BA1AFA" w:rsidRDefault="00BA1AFA">
            <w:pPr>
              <w:pStyle w:val="ConsPlusNormal"/>
              <w:jc w:val="center"/>
            </w:pPr>
            <w:r>
              <w:t>Финансирование осуществляется в рамках текущей деятельности финансовой инспекции</w:t>
            </w:r>
          </w:p>
        </w:tc>
        <w:tc>
          <w:tcPr>
            <w:tcW w:w="2608" w:type="dxa"/>
            <w:tcBorders>
              <w:top w:val="nil"/>
              <w:left w:val="nil"/>
              <w:bottom w:val="nil"/>
              <w:right w:val="nil"/>
            </w:tcBorders>
          </w:tcPr>
          <w:p w:rsidR="00BA1AFA" w:rsidRDefault="00BA1AFA">
            <w:pPr>
              <w:pStyle w:val="ConsPlusNormal"/>
            </w:pPr>
          </w:p>
        </w:tc>
      </w:tr>
      <w:tr w:rsidR="00BA1AFA">
        <w:tblPrEx>
          <w:tblBorders>
            <w:left w:val="none" w:sz="0" w:space="0" w:color="auto"/>
            <w:right w:val="none" w:sz="0" w:space="0" w:color="auto"/>
            <w:insideH w:val="none" w:sz="0" w:space="0" w:color="auto"/>
            <w:insideV w:val="none" w:sz="0" w:space="0" w:color="auto"/>
          </w:tblBorders>
        </w:tblPrEx>
        <w:tc>
          <w:tcPr>
            <w:tcW w:w="552" w:type="dxa"/>
            <w:tcBorders>
              <w:top w:val="nil"/>
              <w:left w:val="nil"/>
              <w:bottom w:val="nil"/>
              <w:right w:val="nil"/>
            </w:tcBorders>
          </w:tcPr>
          <w:p w:rsidR="00BA1AFA" w:rsidRDefault="00BA1AFA">
            <w:pPr>
              <w:pStyle w:val="ConsPlusNormal"/>
            </w:pPr>
          </w:p>
        </w:tc>
        <w:tc>
          <w:tcPr>
            <w:tcW w:w="3219" w:type="dxa"/>
            <w:tcBorders>
              <w:top w:val="nil"/>
              <w:left w:val="nil"/>
              <w:bottom w:val="nil"/>
              <w:right w:val="nil"/>
            </w:tcBorders>
          </w:tcPr>
          <w:p w:rsidR="00BA1AFA" w:rsidRDefault="00BA1AFA">
            <w:pPr>
              <w:pStyle w:val="ConsPlusNormal"/>
            </w:pPr>
            <w:r>
              <w:t>ВСЕГО</w:t>
            </w:r>
          </w:p>
        </w:tc>
        <w:tc>
          <w:tcPr>
            <w:tcW w:w="1248" w:type="dxa"/>
            <w:tcBorders>
              <w:top w:val="nil"/>
              <w:left w:val="nil"/>
              <w:bottom w:val="nil"/>
              <w:right w:val="nil"/>
            </w:tcBorders>
          </w:tcPr>
          <w:p w:rsidR="00BA1AFA" w:rsidRDefault="00BA1AFA">
            <w:pPr>
              <w:pStyle w:val="ConsPlusNormal"/>
            </w:pPr>
          </w:p>
        </w:tc>
        <w:tc>
          <w:tcPr>
            <w:tcW w:w="993" w:type="dxa"/>
            <w:tcBorders>
              <w:top w:val="nil"/>
              <w:left w:val="nil"/>
              <w:bottom w:val="nil"/>
              <w:right w:val="nil"/>
            </w:tcBorders>
          </w:tcPr>
          <w:p w:rsidR="00BA1AFA" w:rsidRDefault="00BA1AFA">
            <w:pPr>
              <w:pStyle w:val="ConsPlusNormal"/>
            </w:pPr>
          </w:p>
        </w:tc>
        <w:tc>
          <w:tcPr>
            <w:tcW w:w="1020" w:type="dxa"/>
            <w:tcBorders>
              <w:top w:val="nil"/>
              <w:left w:val="nil"/>
              <w:bottom w:val="nil"/>
              <w:right w:val="nil"/>
            </w:tcBorders>
          </w:tcPr>
          <w:p w:rsidR="00BA1AFA" w:rsidRDefault="00BA1AFA">
            <w:pPr>
              <w:pStyle w:val="ConsPlusNormal"/>
              <w:jc w:val="center"/>
            </w:pPr>
            <w:r>
              <w:t>10584,8</w:t>
            </w:r>
          </w:p>
        </w:tc>
        <w:tc>
          <w:tcPr>
            <w:tcW w:w="1077" w:type="dxa"/>
            <w:tcBorders>
              <w:top w:val="nil"/>
              <w:left w:val="nil"/>
              <w:bottom w:val="nil"/>
              <w:right w:val="nil"/>
            </w:tcBorders>
          </w:tcPr>
          <w:p w:rsidR="00BA1AFA" w:rsidRDefault="00BA1AFA">
            <w:pPr>
              <w:pStyle w:val="ConsPlusNormal"/>
              <w:jc w:val="center"/>
            </w:pPr>
            <w:r>
              <w:t>11191,1</w:t>
            </w:r>
          </w:p>
        </w:tc>
        <w:tc>
          <w:tcPr>
            <w:tcW w:w="1020" w:type="dxa"/>
            <w:tcBorders>
              <w:top w:val="nil"/>
              <w:left w:val="nil"/>
              <w:bottom w:val="nil"/>
              <w:right w:val="nil"/>
            </w:tcBorders>
          </w:tcPr>
          <w:p w:rsidR="00BA1AFA" w:rsidRDefault="00BA1AFA">
            <w:pPr>
              <w:pStyle w:val="ConsPlusNormal"/>
              <w:jc w:val="center"/>
            </w:pPr>
            <w:r>
              <w:t>11297,5</w:t>
            </w:r>
          </w:p>
        </w:tc>
        <w:tc>
          <w:tcPr>
            <w:tcW w:w="1134" w:type="dxa"/>
            <w:tcBorders>
              <w:top w:val="nil"/>
              <w:left w:val="nil"/>
              <w:bottom w:val="nil"/>
              <w:right w:val="nil"/>
            </w:tcBorders>
          </w:tcPr>
          <w:p w:rsidR="00BA1AFA" w:rsidRDefault="00BA1AFA">
            <w:pPr>
              <w:pStyle w:val="ConsPlusNormal"/>
              <w:jc w:val="center"/>
            </w:pPr>
            <w:r>
              <w:t>10015,2</w:t>
            </w:r>
          </w:p>
        </w:tc>
        <w:tc>
          <w:tcPr>
            <w:tcW w:w="1077" w:type="dxa"/>
            <w:tcBorders>
              <w:top w:val="nil"/>
              <w:left w:val="nil"/>
              <w:bottom w:val="nil"/>
              <w:right w:val="nil"/>
            </w:tcBorders>
          </w:tcPr>
          <w:p w:rsidR="00BA1AFA" w:rsidRDefault="00BA1AFA">
            <w:pPr>
              <w:pStyle w:val="ConsPlusNormal"/>
              <w:jc w:val="center"/>
            </w:pPr>
            <w:r>
              <w:t>10020,2</w:t>
            </w:r>
          </w:p>
        </w:tc>
        <w:tc>
          <w:tcPr>
            <w:tcW w:w="1134" w:type="dxa"/>
            <w:tcBorders>
              <w:top w:val="nil"/>
              <w:left w:val="nil"/>
              <w:bottom w:val="nil"/>
              <w:right w:val="nil"/>
            </w:tcBorders>
          </w:tcPr>
          <w:p w:rsidR="00BA1AFA" w:rsidRDefault="00BA1AFA">
            <w:pPr>
              <w:pStyle w:val="ConsPlusNormal"/>
              <w:jc w:val="center"/>
            </w:pPr>
            <w:r>
              <w:t>9457,7</w:t>
            </w:r>
          </w:p>
        </w:tc>
        <w:tc>
          <w:tcPr>
            <w:tcW w:w="1134" w:type="dxa"/>
            <w:tcBorders>
              <w:top w:val="nil"/>
              <w:left w:val="nil"/>
              <w:bottom w:val="nil"/>
              <w:right w:val="nil"/>
            </w:tcBorders>
          </w:tcPr>
          <w:p w:rsidR="00BA1AFA" w:rsidRDefault="00BA1AFA">
            <w:pPr>
              <w:pStyle w:val="ConsPlusNormal"/>
              <w:jc w:val="center"/>
            </w:pPr>
            <w:r>
              <w:t>10207,0</w:t>
            </w:r>
          </w:p>
        </w:tc>
        <w:tc>
          <w:tcPr>
            <w:tcW w:w="1134" w:type="dxa"/>
            <w:tcBorders>
              <w:top w:val="nil"/>
              <w:left w:val="nil"/>
              <w:bottom w:val="nil"/>
              <w:right w:val="nil"/>
            </w:tcBorders>
          </w:tcPr>
          <w:p w:rsidR="00BA1AFA" w:rsidRDefault="00BA1AFA">
            <w:pPr>
              <w:pStyle w:val="ConsPlusNormal"/>
              <w:jc w:val="center"/>
            </w:pPr>
            <w:r>
              <w:t>10119,05</w:t>
            </w:r>
          </w:p>
        </w:tc>
        <w:tc>
          <w:tcPr>
            <w:tcW w:w="1077" w:type="dxa"/>
            <w:tcBorders>
              <w:top w:val="nil"/>
              <w:left w:val="nil"/>
              <w:bottom w:val="nil"/>
              <w:right w:val="nil"/>
            </w:tcBorders>
          </w:tcPr>
          <w:p w:rsidR="00BA1AFA" w:rsidRDefault="00BA1AFA">
            <w:pPr>
              <w:pStyle w:val="ConsPlusNormal"/>
              <w:jc w:val="center"/>
            </w:pPr>
            <w:r>
              <w:t>5134,7</w:t>
            </w:r>
          </w:p>
        </w:tc>
        <w:tc>
          <w:tcPr>
            <w:tcW w:w="1134" w:type="dxa"/>
            <w:tcBorders>
              <w:top w:val="nil"/>
              <w:left w:val="nil"/>
              <w:bottom w:val="nil"/>
              <w:right w:val="nil"/>
            </w:tcBorders>
          </w:tcPr>
          <w:p w:rsidR="00BA1AFA" w:rsidRDefault="00BA1AFA">
            <w:pPr>
              <w:pStyle w:val="ConsPlusNormal"/>
              <w:jc w:val="center"/>
            </w:pPr>
            <w:r>
              <w:t>5135,7</w:t>
            </w:r>
          </w:p>
        </w:tc>
        <w:tc>
          <w:tcPr>
            <w:tcW w:w="1134" w:type="dxa"/>
            <w:tcBorders>
              <w:top w:val="nil"/>
              <w:left w:val="nil"/>
              <w:bottom w:val="nil"/>
              <w:right w:val="nil"/>
            </w:tcBorders>
          </w:tcPr>
          <w:p w:rsidR="00BA1AFA" w:rsidRDefault="00BA1AFA">
            <w:pPr>
              <w:pStyle w:val="ConsPlusNormal"/>
              <w:jc w:val="center"/>
            </w:pPr>
            <w:r>
              <w:t>93162,7</w:t>
            </w:r>
          </w:p>
        </w:tc>
        <w:tc>
          <w:tcPr>
            <w:tcW w:w="2608" w:type="dxa"/>
            <w:tcBorders>
              <w:top w:val="nil"/>
              <w:left w:val="nil"/>
              <w:bottom w:val="nil"/>
              <w:right w:val="nil"/>
            </w:tcBorders>
          </w:tcPr>
          <w:p w:rsidR="00BA1AFA" w:rsidRDefault="00BA1AFA">
            <w:pPr>
              <w:pStyle w:val="ConsPlusNormal"/>
            </w:pPr>
          </w:p>
        </w:tc>
      </w:tr>
    </w:tbl>
    <w:p w:rsidR="00BA1AFA" w:rsidRDefault="00BA1AFA">
      <w:pPr>
        <w:pStyle w:val="ConsPlusNormal"/>
        <w:jc w:val="both"/>
      </w:pPr>
    </w:p>
    <w:p w:rsidR="00BA1AFA" w:rsidRDefault="00BA1AFA">
      <w:pPr>
        <w:pStyle w:val="ConsPlusNormal"/>
        <w:jc w:val="both"/>
      </w:pPr>
    </w:p>
    <w:p w:rsidR="00BA1AFA" w:rsidRDefault="00BA1AFA">
      <w:pPr>
        <w:pStyle w:val="ConsPlusNormal"/>
        <w:pBdr>
          <w:top w:val="single" w:sz="6" w:space="0" w:color="auto"/>
        </w:pBdr>
        <w:spacing w:before="100" w:after="100"/>
        <w:jc w:val="both"/>
        <w:rPr>
          <w:sz w:val="2"/>
          <w:szCs w:val="2"/>
        </w:rPr>
      </w:pPr>
    </w:p>
    <w:p w:rsidR="005702D0" w:rsidRDefault="005702D0"/>
    <w:sectPr w:rsidR="005702D0" w:rsidSect="001F504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1AFA"/>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D3A78"/>
    <w:rsid w:val="007D3FB0"/>
    <w:rsid w:val="007E5384"/>
    <w:rsid w:val="00801A44"/>
    <w:rsid w:val="008020A5"/>
    <w:rsid w:val="008043FC"/>
    <w:rsid w:val="00814E45"/>
    <w:rsid w:val="00845C3E"/>
    <w:rsid w:val="00860ED4"/>
    <w:rsid w:val="008F238F"/>
    <w:rsid w:val="008F278E"/>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A1AFA"/>
    <w:rsid w:val="00BB7078"/>
    <w:rsid w:val="00BC2DD3"/>
    <w:rsid w:val="00BC4700"/>
    <w:rsid w:val="00BE121B"/>
    <w:rsid w:val="00C024E2"/>
    <w:rsid w:val="00D16F9A"/>
    <w:rsid w:val="00D371B2"/>
    <w:rsid w:val="00DA5D46"/>
    <w:rsid w:val="00DB5970"/>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1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A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1A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907B04D33B38DCF7C46EC8C6B5AA44C1FE49F8BA94E20B3F586CDB3D883DF970C0C5CC41C00AD26AAFF528FB9D32A85406507BA147A42608F78EBi34AN" TargetMode="External"/><Relationship Id="rId13" Type="http://schemas.openxmlformats.org/officeDocument/2006/relationships/hyperlink" Target="consultantplus://offline/ref=B93907B04D33B38DCF7C46EC8C6B5AA44C1FE49F8BA94E20B3F586CDB3D883DF970C0C5CC41C00AD27AAF85783B9D32A85406507BA147A42608F78EBi34AN" TargetMode="External"/><Relationship Id="rId18" Type="http://schemas.openxmlformats.org/officeDocument/2006/relationships/hyperlink" Target="consultantplus://offline/ref=B93907B04D33B38DCF7C58E19A0706AC4911BF9B8DAA4573EAA2809AEC88858AD74C0A09875B09AF24A1A907C3E78A79C70B6801A2087A44i74C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93907B04D33B38DCF7C58E19A0706AC4912B99788AD4573EAA2809AEC88858AD74C0A0987590EA425A1A907C3E78A79C70B6801A2087A44i74CN" TargetMode="External"/><Relationship Id="rId7" Type="http://schemas.openxmlformats.org/officeDocument/2006/relationships/hyperlink" Target="consultantplus://offline/ref=B93907B04D33B38DCF7C46EC8C6B5AA44C1FE49F8BA94E20B3F586CDB3D883DF970C0C5CC41C00AD26AAFF5584B9D32A85406507BA147A42608F78EBi34AN" TargetMode="External"/><Relationship Id="rId12" Type="http://schemas.openxmlformats.org/officeDocument/2006/relationships/hyperlink" Target="consultantplus://offline/ref=B93907B04D33B38DCF7C46EC8C6B5AA44C1FE49F8BA94E20B3F586CDB3D883DF970C0C5CC41C00AD26AAFE5780B9D32A85406507BA147A42608F78EBi34AN" TargetMode="External"/><Relationship Id="rId17" Type="http://schemas.openxmlformats.org/officeDocument/2006/relationships/hyperlink" Target="consultantplus://offline/ref=B93907B04D33B38DCF7C58E19A0706AC4911BF9B8DAA4573EAA2809AEC88858AD74C0A0B865C0BA773FBB9038AB08165C1117607BC08i748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3907B04D33B38DCF7C46EC8C6B5AA44C1FE49F8BA94E20B3F586CDB3D883DF970C0C5CC41C00AD26AAFE518FB9D32A85406507BA147A42608F78EBi34AN" TargetMode="External"/><Relationship Id="rId20" Type="http://schemas.openxmlformats.org/officeDocument/2006/relationships/hyperlink" Target="consultantplus://offline/ref=B93907B04D33B38DCF7C58E19A0706AC4911BF9B8DAA4573EAA2809AEC88858AD74C0A09875B09AF24A1A907C3E78A79C70B6801A2087A44i74CN" TargetMode="External"/><Relationship Id="rId1" Type="http://schemas.openxmlformats.org/officeDocument/2006/relationships/styles" Target="styles.xml"/><Relationship Id="rId6" Type="http://schemas.openxmlformats.org/officeDocument/2006/relationships/hyperlink" Target="consultantplus://offline/ref=B93907B04D33B38DCF7C46EC8C6B5AA44C1FE49F8BA94E20B3F586CDB3D883DF970C0C5CD61C58A125ACE35683AC857BC3i147N" TargetMode="External"/><Relationship Id="rId11" Type="http://schemas.openxmlformats.org/officeDocument/2006/relationships/hyperlink" Target="consultantplus://offline/ref=B93907B04D33B38DCF7C46EC8C6B5AA44C1FE49F8BA94E20B3F586CDB3D883DF970C0C5CC41C00AD27AAF95686B9D32A85406507BA147A42608F78EBi34AN" TargetMode="External"/><Relationship Id="rId24" Type="http://schemas.openxmlformats.org/officeDocument/2006/relationships/hyperlink" Target="consultantplus://offline/ref=B93907B04D33B38DCF7C58E19A0706AC4912B99788AD4573EAA2809AEC88858AD74C0A0987590AA52FA1A907C3E78A79C70B6801A2087A44i74CN" TargetMode="External"/><Relationship Id="rId5" Type="http://schemas.openxmlformats.org/officeDocument/2006/relationships/hyperlink" Target="consultantplus://offline/ref=B93907B04D33B38DCF7C46EC8C6B5AA44C1FE49F8BA94E20B3F586CDB3D883DF970C0C5CC41C00AD26AAFF5584B9D32A85406507BA147A42608F78EBi34AN" TargetMode="External"/><Relationship Id="rId15" Type="http://schemas.openxmlformats.org/officeDocument/2006/relationships/hyperlink" Target="consultantplus://offline/ref=B93907B04D33B38DCF7C46EC8C6B5AA44C1FE49F8BA94E20B3F586CDB3D883DF970C0C5CC41C00AD26AAF5518FB9D32A85406507BA147A42608F78EBi34AN" TargetMode="External"/><Relationship Id="rId23" Type="http://schemas.openxmlformats.org/officeDocument/2006/relationships/hyperlink" Target="consultantplus://offline/ref=B93907B04D33B38DCF7C58E19A0706AC4912B99788AD4573EAA2809AEC88858AD74C0A0987590EA425A1A907C3E78A79C70B6801A2087A44i74CN" TargetMode="External"/><Relationship Id="rId10" Type="http://schemas.openxmlformats.org/officeDocument/2006/relationships/hyperlink" Target="consultantplus://offline/ref=B93907B04D33B38DCF7C46EC8C6B5AA44C1FE49F8BA94E20B3F586CDB3D883DF970C0C5CC41C00AD26AAFF5F8EB9D32A85406507BA147A42608F78EBi34AN" TargetMode="External"/><Relationship Id="rId19" Type="http://schemas.openxmlformats.org/officeDocument/2006/relationships/hyperlink" Target="consultantplus://offline/ref=B93907B04D33B38DCF7C58E19A0706AC4911BF9B8DAA4573EAA2809AEC88858AD74C0A0B865C0BA773FBB9038AB08165C1117607BC08i74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3907B04D33B38DCF7C46EC8C6B5AA44C1FE49F8BA94E20B3F586CDB3D883DF970C0C5CC41C00AD27AAFE5685B9D32A85406507BA147A42608F78EBi34AN" TargetMode="External"/><Relationship Id="rId14" Type="http://schemas.openxmlformats.org/officeDocument/2006/relationships/hyperlink" Target="consultantplus://offline/ref=B93907B04D33B38DCF7C46EC8C6B5AA44C1FE49F8BA94E20B3F586CDB3D883DF970C0C5CC41C00AD26AAFE5283B9D32A85406507BA147A42608F78EBi34AN" TargetMode="External"/><Relationship Id="rId22" Type="http://schemas.openxmlformats.org/officeDocument/2006/relationships/hyperlink" Target="consultantplus://offline/ref=B93907B04D33B38DCF7C58E19A0706AC4912B99788AD4573EAA2809AEC88858AD74C0A0987590AA52FA1A907C3E78A79C70B6801A2087A44i74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4906</Words>
  <Characters>27968</Characters>
  <Application>Microsoft Office Word</Application>
  <DocSecurity>0</DocSecurity>
  <Lines>233</Lines>
  <Paragraphs>65</Paragraphs>
  <ScaleCrop>false</ScaleCrop>
  <Company>Reanimator Extreme Edition</Company>
  <LinksUpToDate>false</LinksUpToDate>
  <CharactersWithSpaces>32809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2022-04-26T13:56:00Z</dcterms:created>
  <dcterms:modified xsi:type="dcterms:W3CDTF">2022-04-26T13:56:00Z</dcterms:modified>
</cp:coreProperties>
</file>