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55" w:rsidRDefault="00B07155">
      <w:pPr>
        <w:pStyle w:val="ConsPlusTitlePage"/>
      </w:pPr>
      <w:r>
        <w:t xml:space="preserve">Документ предоставлен </w:t>
      </w:r>
      <w:hyperlink r:id="rId4" w:history="1">
        <w:r>
          <w:rPr>
            <w:color w:val="0000FF"/>
          </w:rPr>
          <w:t>КонсультантПлюс</w:t>
        </w:r>
      </w:hyperlink>
      <w:r>
        <w:br/>
      </w:r>
    </w:p>
    <w:p w:rsidR="00B07155" w:rsidRDefault="00B07155">
      <w:pPr>
        <w:pStyle w:val="ConsPlusNormal"/>
        <w:jc w:val="both"/>
        <w:outlineLvl w:val="0"/>
      </w:pPr>
    </w:p>
    <w:p w:rsidR="00B07155" w:rsidRDefault="00B07155">
      <w:pPr>
        <w:pStyle w:val="ConsPlusTitle"/>
        <w:jc w:val="center"/>
        <w:outlineLvl w:val="0"/>
      </w:pPr>
      <w:r>
        <w:t>ПРАВИТЕЛЬСТВО САМАРСКОЙ ОБЛАСТИ</w:t>
      </w:r>
    </w:p>
    <w:p w:rsidR="00B07155" w:rsidRDefault="00B07155">
      <w:pPr>
        <w:pStyle w:val="ConsPlusTitle"/>
        <w:jc w:val="both"/>
      </w:pPr>
    </w:p>
    <w:p w:rsidR="00B07155" w:rsidRDefault="00B07155">
      <w:pPr>
        <w:pStyle w:val="ConsPlusTitle"/>
        <w:jc w:val="center"/>
      </w:pPr>
      <w:r>
        <w:t>ПОСТАНОВЛЕНИЕ</w:t>
      </w:r>
    </w:p>
    <w:p w:rsidR="00B07155" w:rsidRDefault="00B07155">
      <w:pPr>
        <w:pStyle w:val="ConsPlusTitle"/>
        <w:jc w:val="center"/>
      </w:pPr>
      <w:r>
        <w:t>от 8 октября 2021 г. N 767</w:t>
      </w:r>
    </w:p>
    <w:p w:rsidR="00B07155" w:rsidRDefault="00B07155">
      <w:pPr>
        <w:pStyle w:val="ConsPlusTitle"/>
        <w:jc w:val="both"/>
      </w:pPr>
    </w:p>
    <w:p w:rsidR="00B07155" w:rsidRDefault="00B07155">
      <w:pPr>
        <w:pStyle w:val="ConsPlusTitle"/>
        <w:jc w:val="center"/>
      </w:pPr>
      <w:r>
        <w:t xml:space="preserve">О ВНЕСЕНИИ ИЗМЕНЕНИЙ В ПОСТАНОВЛЕНИЕ ПРАВИТЕЛЬСТВА </w:t>
      </w:r>
      <w:proofErr w:type="gramStart"/>
      <w:r>
        <w:t>САМАРСКОЙ</w:t>
      </w:r>
      <w:proofErr w:type="gramEnd"/>
    </w:p>
    <w:p w:rsidR="00B07155" w:rsidRDefault="00B07155">
      <w:pPr>
        <w:pStyle w:val="ConsPlusTitle"/>
        <w:jc w:val="center"/>
      </w:pPr>
      <w:r>
        <w:t>ОБЛАСТИ ОТ 22.02.2013 N 50 "ОБ УТВЕРЖДЕНИИ ПРАВИЛ</w:t>
      </w:r>
    </w:p>
    <w:p w:rsidR="00B07155" w:rsidRDefault="00B07155">
      <w:pPr>
        <w:pStyle w:val="ConsPlusTitle"/>
        <w:jc w:val="center"/>
      </w:pPr>
      <w:r>
        <w:t>ПРЕДОСТАВЛЕНИЯ ИЗ ОБЛАСТНОГО БЮДЖЕТА МЕСТНЫМ БЮДЖЕТАМ</w:t>
      </w:r>
    </w:p>
    <w:p w:rsidR="00B07155" w:rsidRDefault="00B07155">
      <w:pPr>
        <w:pStyle w:val="ConsPlusTitle"/>
        <w:jc w:val="center"/>
      </w:pPr>
      <w:r>
        <w:t>ДОТАЦИЙ НА СТИМУЛИРОВАНИЕ ПОВЫШЕНИЯ КАЧЕСТВА УПРАВЛЕНИЯ</w:t>
      </w:r>
    </w:p>
    <w:p w:rsidR="00B07155" w:rsidRDefault="00B07155">
      <w:pPr>
        <w:pStyle w:val="ConsPlusTitle"/>
        <w:jc w:val="center"/>
      </w:pPr>
      <w:r>
        <w:t>МУНИЦИПАЛЬНЫМИ ФИНАНСАМИ И ДОТАЦИЙ НА СТИМУЛИРОВАНИЕ</w:t>
      </w:r>
    </w:p>
    <w:p w:rsidR="00B07155" w:rsidRDefault="00B07155">
      <w:pPr>
        <w:pStyle w:val="ConsPlusTitle"/>
        <w:jc w:val="center"/>
      </w:pPr>
      <w:r>
        <w:t>РАЗВИТИЯ НАЛОГОВОГО ПОТЕНЦИАЛА ТЕРРИТОРИИ МУНИЦИПАЛЬНОГО</w:t>
      </w:r>
    </w:p>
    <w:p w:rsidR="00B07155" w:rsidRDefault="00B07155">
      <w:pPr>
        <w:pStyle w:val="ConsPlusTitle"/>
        <w:jc w:val="center"/>
      </w:pPr>
      <w:r>
        <w:t>ОБРАЗОВАНИЯ В САМАРСКОЙ ОБЛАСТИ И МЕТОДИКИ РАСПРЕДЕЛЕНИЯ</w:t>
      </w:r>
    </w:p>
    <w:p w:rsidR="00B07155" w:rsidRDefault="00B07155">
      <w:pPr>
        <w:pStyle w:val="ConsPlusTitle"/>
        <w:jc w:val="center"/>
      </w:pPr>
      <w:r>
        <w:t>ДОТАЦИЙ НА СТИМУЛИРОВАНИЕ ПОВЫШЕНИЯ КАЧЕСТВА УПРАВЛЕНИЯ</w:t>
      </w:r>
    </w:p>
    <w:p w:rsidR="00B07155" w:rsidRDefault="00B07155">
      <w:pPr>
        <w:pStyle w:val="ConsPlusTitle"/>
        <w:jc w:val="center"/>
      </w:pPr>
      <w:r>
        <w:t>МУНИЦИПАЛЬНЫМИ ФИНАНСАМИ И ДОТАЦИЙ НА СТИМУЛИРОВАНИЕ</w:t>
      </w:r>
    </w:p>
    <w:p w:rsidR="00B07155" w:rsidRDefault="00B07155">
      <w:pPr>
        <w:pStyle w:val="ConsPlusTitle"/>
        <w:jc w:val="center"/>
      </w:pPr>
      <w:r>
        <w:t>РАЗВИТИЯ НАЛОГОВОГО ПОТЕНЦИАЛА ТЕРРИТОРИИ МУНИЦИПАЛЬНОГО</w:t>
      </w:r>
    </w:p>
    <w:p w:rsidR="00B07155" w:rsidRDefault="00B07155">
      <w:pPr>
        <w:pStyle w:val="ConsPlusTitle"/>
        <w:jc w:val="center"/>
      </w:pPr>
      <w:r>
        <w:t>ОБРАЗОВАНИЯ В САМАРСКОЙ ОБЛАСТИ"</w:t>
      </w:r>
    </w:p>
    <w:p w:rsidR="00B07155" w:rsidRDefault="00B07155">
      <w:pPr>
        <w:pStyle w:val="ConsPlusNormal"/>
        <w:jc w:val="both"/>
      </w:pPr>
    </w:p>
    <w:p w:rsidR="00B07155" w:rsidRDefault="00B07155">
      <w:pPr>
        <w:pStyle w:val="ConsPlusNormal"/>
        <w:ind w:firstLine="540"/>
        <w:jc w:val="both"/>
      </w:pPr>
      <w:r>
        <w:t xml:space="preserve">В </w:t>
      </w:r>
      <w:proofErr w:type="gramStart"/>
      <w:r>
        <w:t>соответствии</w:t>
      </w:r>
      <w:proofErr w:type="gramEnd"/>
      <w:r>
        <w:t xml:space="preserve"> со </w:t>
      </w:r>
      <w:hyperlink r:id="rId5" w:history="1">
        <w:r>
          <w:rPr>
            <w:color w:val="0000FF"/>
          </w:rPr>
          <w:t>статьей 138.4</w:t>
        </w:r>
      </w:hyperlink>
      <w:r>
        <w:t xml:space="preserve"> Бюджетного кодекса Российской Федерации, </w:t>
      </w:r>
      <w:hyperlink r:id="rId6" w:history="1">
        <w:r>
          <w:rPr>
            <w:color w:val="0000FF"/>
          </w:rPr>
          <w:t>Законом</w:t>
        </w:r>
      </w:hyperlink>
      <w:r>
        <w:t xml:space="preserve"> Самарской области "О бюджетном устройстве и бюджетном процессе в Самарской области" и </w:t>
      </w:r>
      <w:hyperlink r:id="rId7" w:history="1">
        <w:r>
          <w:rPr>
            <w:color w:val="0000FF"/>
          </w:rPr>
          <w:t>Законом</w:t>
        </w:r>
      </w:hyperlink>
      <w:r>
        <w:t xml:space="preserve"> Самарской области "Об областном бюджете на 2021 год и на плановый период 2022 и 2023 годов" Правительство Самарской области постановляет:</w:t>
      </w:r>
    </w:p>
    <w:p w:rsidR="00B07155" w:rsidRDefault="00B07155">
      <w:pPr>
        <w:pStyle w:val="ConsPlusNormal"/>
        <w:spacing w:before="220"/>
        <w:ind w:firstLine="540"/>
        <w:jc w:val="both"/>
      </w:pPr>
      <w:r>
        <w:t xml:space="preserve">1. </w:t>
      </w:r>
      <w:proofErr w:type="gramStart"/>
      <w:r>
        <w:t xml:space="preserve">Внести в </w:t>
      </w:r>
      <w:hyperlink r:id="rId8" w:history="1">
        <w:r>
          <w:rPr>
            <w:color w:val="0000FF"/>
          </w:rPr>
          <w:t>постановление</w:t>
        </w:r>
      </w:hyperlink>
      <w:r>
        <w:t xml:space="preserve"> Правительства Самарской области от 22.02.2013 N 50 "Об утверждении Правил предоставления из областного бюджета местным бюджетам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 и Методики распределения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w:t>
      </w:r>
      <w:proofErr w:type="gramEnd"/>
      <w:r>
        <w:t xml:space="preserve"> образования в Самарской области" следующие изменения:</w:t>
      </w:r>
    </w:p>
    <w:p w:rsidR="00B07155" w:rsidRDefault="00B07155">
      <w:pPr>
        <w:pStyle w:val="ConsPlusNormal"/>
        <w:spacing w:before="220"/>
        <w:ind w:firstLine="540"/>
        <w:jc w:val="both"/>
      </w:pPr>
      <w:r>
        <w:t xml:space="preserve">в </w:t>
      </w:r>
      <w:hyperlink r:id="rId9" w:history="1">
        <w:r>
          <w:rPr>
            <w:color w:val="0000FF"/>
          </w:rPr>
          <w:t>Правилах</w:t>
        </w:r>
      </w:hyperlink>
      <w:r>
        <w:t xml:space="preserve"> предоставления из областного бюджета местным бюджетам дотаций на стимулирование повышения качества управления </w:t>
      </w:r>
      <w:proofErr w:type="gramStart"/>
      <w:r>
        <w:t>муниципальными</w:t>
      </w:r>
      <w:proofErr w:type="gramEnd"/>
      <w:r>
        <w:t xml:space="preserve"> финансами и дотаций на стимулирование развития налогового потенциала территории муниципального образования в Самарской области:</w:t>
      </w:r>
    </w:p>
    <w:p w:rsidR="00B07155" w:rsidRDefault="00B07155">
      <w:pPr>
        <w:pStyle w:val="ConsPlusNormal"/>
        <w:spacing w:before="220"/>
        <w:ind w:firstLine="540"/>
        <w:jc w:val="both"/>
      </w:pPr>
      <w:r>
        <w:t xml:space="preserve">в </w:t>
      </w:r>
      <w:hyperlink r:id="rId10" w:history="1">
        <w:r>
          <w:rPr>
            <w:color w:val="0000FF"/>
          </w:rPr>
          <w:t>пункте 2</w:t>
        </w:r>
      </w:hyperlink>
      <w:r>
        <w:t xml:space="preserve"> слова "(в 2021 году - 37,5 млн. рублей)" исключить;</w:t>
      </w:r>
    </w:p>
    <w:p w:rsidR="00B07155" w:rsidRDefault="00B07155">
      <w:pPr>
        <w:pStyle w:val="ConsPlusNormal"/>
        <w:spacing w:before="220"/>
        <w:ind w:firstLine="540"/>
        <w:jc w:val="both"/>
      </w:pPr>
      <w:r>
        <w:t xml:space="preserve">в </w:t>
      </w:r>
      <w:hyperlink r:id="rId11" w:history="1">
        <w:r>
          <w:rPr>
            <w:color w:val="0000FF"/>
          </w:rPr>
          <w:t>Методике</w:t>
        </w:r>
      </w:hyperlink>
      <w:r>
        <w:t xml:space="preserve"> распределения дотаций на стимулирование повышения качества управления </w:t>
      </w:r>
      <w:proofErr w:type="gramStart"/>
      <w:r>
        <w:t>муниципальными</w:t>
      </w:r>
      <w:proofErr w:type="gramEnd"/>
      <w:r>
        <w:t xml:space="preserve"> финансами и дотаций на стимулирование развития налогового потенциала территории муниципального образования в Самарской области (далее - Методика):</w:t>
      </w:r>
    </w:p>
    <w:p w:rsidR="00B07155" w:rsidRDefault="00B07155">
      <w:pPr>
        <w:pStyle w:val="ConsPlusNormal"/>
        <w:spacing w:before="220"/>
        <w:ind w:firstLine="540"/>
        <w:jc w:val="both"/>
      </w:pPr>
      <w:hyperlink r:id="rId12" w:history="1">
        <w:r>
          <w:rPr>
            <w:color w:val="0000FF"/>
          </w:rPr>
          <w:t>абзац второй пункта 2.1</w:t>
        </w:r>
      </w:hyperlink>
      <w:r>
        <w:t xml:space="preserve"> признать утратившим силу;</w:t>
      </w:r>
    </w:p>
    <w:p w:rsidR="00B07155" w:rsidRDefault="00B07155">
      <w:pPr>
        <w:pStyle w:val="ConsPlusNormal"/>
        <w:spacing w:before="220"/>
        <w:ind w:firstLine="540"/>
        <w:jc w:val="both"/>
      </w:pPr>
      <w:hyperlink r:id="rId13" w:history="1">
        <w:r>
          <w:rPr>
            <w:color w:val="0000FF"/>
          </w:rPr>
          <w:t>абзац восьмой пункта 2.2</w:t>
        </w:r>
      </w:hyperlink>
      <w:r>
        <w:t xml:space="preserve"> изложить в следующей редакции:</w:t>
      </w:r>
    </w:p>
    <w:p w:rsidR="00B07155" w:rsidRDefault="00B07155">
      <w:pPr>
        <w:pStyle w:val="ConsPlusNormal"/>
        <w:spacing w:before="220"/>
        <w:ind w:firstLine="540"/>
        <w:jc w:val="both"/>
      </w:pPr>
      <w:proofErr w:type="gramStart"/>
      <w:r>
        <w:t>"по итогам исполнения местных бюджетов за первое полугодие текущего финансового года - в течение 15 календарных дней после завершения отчетного периода (в 2021 году - в течение 5 рабочих дней со дня, следующего за днем внесения изменений в настоящую Методику, предусматривающих возможность распределения транша дотаций по итогам исполнения местных бюджетов за первое полугодие 2021 года).";</w:t>
      </w:r>
      <w:proofErr w:type="gramEnd"/>
    </w:p>
    <w:p w:rsidR="00B07155" w:rsidRDefault="00B0715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71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155" w:rsidRDefault="00B071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155" w:rsidRDefault="00B071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155" w:rsidRDefault="00B07155">
            <w:pPr>
              <w:pStyle w:val="ConsPlusNormal"/>
              <w:jc w:val="both"/>
            </w:pPr>
            <w:r>
              <w:rPr>
                <w:color w:val="392C69"/>
              </w:rPr>
              <w:t xml:space="preserve">Абз. 8 п. 1 </w:t>
            </w:r>
            <w:hyperlink w:anchor="P37" w:history="1">
              <w:r>
                <w:rPr>
                  <w:color w:val="0000FF"/>
                </w:rPr>
                <w:t>применяется</w:t>
              </w:r>
            </w:hyperlink>
            <w:r>
              <w:rPr>
                <w:color w:val="392C69"/>
              </w:rPr>
              <w:t xml:space="preserve"> к правоотношениям, связанным с распределением и предоставлением дотаций на стимулирование повышения качества управления </w:t>
            </w:r>
            <w:proofErr w:type="gramStart"/>
            <w:r>
              <w:rPr>
                <w:color w:val="392C69"/>
              </w:rPr>
              <w:t>муниципальными</w:t>
            </w:r>
            <w:proofErr w:type="gramEnd"/>
            <w:r>
              <w:rPr>
                <w:color w:val="392C69"/>
              </w:rPr>
              <w:t xml:space="preserve"> финансами по итогам первого полугодия 2021 года и последующих отчетных периодов.</w:t>
            </w:r>
          </w:p>
        </w:tc>
        <w:tc>
          <w:tcPr>
            <w:tcW w:w="113" w:type="dxa"/>
            <w:tcBorders>
              <w:top w:val="nil"/>
              <w:left w:val="nil"/>
              <w:bottom w:val="nil"/>
              <w:right w:val="nil"/>
            </w:tcBorders>
            <w:shd w:val="clear" w:color="auto" w:fill="F4F3F8"/>
            <w:tcMar>
              <w:top w:w="0" w:type="dxa"/>
              <w:left w:w="0" w:type="dxa"/>
              <w:bottom w:w="0" w:type="dxa"/>
              <w:right w:w="0" w:type="dxa"/>
            </w:tcMar>
          </w:tcPr>
          <w:p w:rsidR="00B07155" w:rsidRDefault="00B07155">
            <w:pPr>
              <w:spacing w:after="1" w:line="0" w:lineRule="atLeast"/>
            </w:pPr>
          </w:p>
        </w:tc>
      </w:tr>
    </w:tbl>
    <w:p w:rsidR="00B07155" w:rsidRDefault="00B07155">
      <w:pPr>
        <w:pStyle w:val="ConsPlusNormal"/>
        <w:spacing w:before="280"/>
        <w:ind w:firstLine="540"/>
        <w:jc w:val="both"/>
      </w:pPr>
      <w:bookmarkStart w:id="0" w:name="P27"/>
      <w:bookmarkEnd w:id="0"/>
      <w:r>
        <w:t xml:space="preserve">в </w:t>
      </w:r>
      <w:hyperlink r:id="rId14" w:history="1">
        <w:r>
          <w:rPr>
            <w:color w:val="0000FF"/>
          </w:rPr>
          <w:t>пункте 2.3</w:t>
        </w:r>
      </w:hyperlink>
      <w:r>
        <w:t>:</w:t>
      </w:r>
    </w:p>
    <w:p w:rsidR="00B07155" w:rsidRDefault="00B0715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71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155" w:rsidRDefault="00B071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155" w:rsidRDefault="00B071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155" w:rsidRDefault="00B07155">
            <w:pPr>
              <w:pStyle w:val="ConsPlusNormal"/>
              <w:jc w:val="both"/>
            </w:pPr>
            <w:r>
              <w:rPr>
                <w:color w:val="392C69"/>
              </w:rPr>
              <w:t xml:space="preserve">Абз. 9 п. 1 </w:t>
            </w:r>
            <w:hyperlink w:anchor="P37" w:history="1">
              <w:r>
                <w:rPr>
                  <w:color w:val="0000FF"/>
                </w:rPr>
                <w:t>применяется</w:t>
              </w:r>
            </w:hyperlink>
            <w:r>
              <w:rPr>
                <w:color w:val="392C69"/>
              </w:rPr>
              <w:t xml:space="preserve"> к правоотношениям, связанным с распределением и предоставлением дотаций на стимулирование повышения качества управления </w:t>
            </w:r>
            <w:proofErr w:type="gramStart"/>
            <w:r>
              <w:rPr>
                <w:color w:val="392C69"/>
              </w:rPr>
              <w:t>муниципальными</w:t>
            </w:r>
            <w:proofErr w:type="gramEnd"/>
            <w:r>
              <w:rPr>
                <w:color w:val="392C69"/>
              </w:rPr>
              <w:t xml:space="preserve"> финансами по итогам первого полугодия 2021 года и последующих отчетных периодов.</w:t>
            </w:r>
          </w:p>
        </w:tc>
        <w:tc>
          <w:tcPr>
            <w:tcW w:w="113" w:type="dxa"/>
            <w:tcBorders>
              <w:top w:val="nil"/>
              <w:left w:val="nil"/>
              <w:bottom w:val="nil"/>
              <w:right w:val="nil"/>
            </w:tcBorders>
            <w:shd w:val="clear" w:color="auto" w:fill="F4F3F8"/>
            <w:tcMar>
              <w:top w:w="0" w:type="dxa"/>
              <w:left w:w="0" w:type="dxa"/>
              <w:bottom w:w="0" w:type="dxa"/>
              <w:right w:w="0" w:type="dxa"/>
            </w:tcMar>
          </w:tcPr>
          <w:p w:rsidR="00B07155" w:rsidRDefault="00B07155">
            <w:pPr>
              <w:spacing w:after="1" w:line="0" w:lineRule="atLeast"/>
            </w:pPr>
          </w:p>
        </w:tc>
      </w:tr>
    </w:tbl>
    <w:p w:rsidR="00B07155" w:rsidRDefault="00B07155">
      <w:pPr>
        <w:pStyle w:val="ConsPlusNormal"/>
        <w:spacing w:before="280"/>
        <w:ind w:firstLine="540"/>
        <w:jc w:val="both"/>
      </w:pPr>
      <w:r>
        <w:t xml:space="preserve">в </w:t>
      </w:r>
      <w:hyperlink r:id="rId15" w:history="1">
        <w:r>
          <w:rPr>
            <w:color w:val="0000FF"/>
          </w:rPr>
          <w:t>абзаце седьмом</w:t>
        </w:r>
      </w:hyperlink>
      <w:r>
        <w:t xml:space="preserve"> сумму "1 000" заменить суммой "3 000";</w:t>
      </w:r>
    </w:p>
    <w:p w:rsidR="00B07155" w:rsidRDefault="00B0715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71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155" w:rsidRDefault="00B071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155" w:rsidRDefault="00B071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155" w:rsidRDefault="00B07155">
            <w:pPr>
              <w:pStyle w:val="ConsPlusNormal"/>
              <w:jc w:val="both"/>
            </w:pPr>
            <w:r>
              <w:rPr>
                <w:color w:val="392C69"/>
              </w:rPr>
              <w:t xml:space="preserve">Абз. 10 п. 1 </w:t>
            </w:r>
            <w:hyperlink w:anchor="P37" w:history="1">
              <w:r>
                <w:rPr>
                  <w:color w:val="0000FF"/>
                </w:rPr>
                <w:t>применяется</w:t>
              </w:r>
            </w:hyperlink>
            <w:r>
              <w:rPr>
                <w:color w:val="392C69"/>
              </w:rPr>
              <w:t xml:space="preserve"> к правоотношениям, связанным с распределением и предоставлением дотаций на стимулирование повышения качества управления </w:t>
            </w:r>
            <w:proofErr w:type="gramStart"/>
            <w:r>
              <w:rPr>
                <w:color w:val="392C69"/>
              </w:rPr>
              <w:t>муниципальными</w:t>
            </w:r>
            <w:proofErr w:type="gramEnd"/>
            <w:r>
              <w:rPr>
                <w:color w:val="392C69"/>
              </w:rPr>
              <w:t xml:space="preserve"> финансами по итогам первого полугодия 2021 года и последующих отчетных периодов.</w:t>
            </w:r>
          </w:p>
        </w:tc>
        <w:tc>
          <w:tcPr>
            <w:tcW w:w="113" w:type="dxa"/>
            <w:tcBorders>
              <w:top w:val="nil"/>
              <w:left w:val="nil"/>
              <w:bottom w:val="nil"/>
              <w:right w:val="nil"/>
            </w:tcBorders>
            <w:shd w:val="clear" w:color="auto" w:fill="F4F3F8"/>
            <w:tcMar>
              <w:top w:w="0" w:type="dxa"/>
              <w:left w:w="0" w:type="dxa"/>
              <w:bottom w:w="0" w:type="dxa"/>
              <w:right w:w="0" w:type="dxa"/>
            </w:tcMar>
          </w:tcPr>
          <w:p w:rsidR="00B07155" w:rsidRDefault="00B07155">
            <w:pPr>
              <w:spacing w:after="1" w:line="0" w:lineRule="atLeast"/>
            </w:pPr>
          </w:p>
        </w:tc>
      </w:tr>
    </w:tbl>
    <w:p w:rsidR="00B07155" w:rsidRDefault="00B07155">
      <w:pPr>
        <w:pStyle w:val="ConsPlusNormal"/>
        <w:spacing w:before="280"/>
        <w:ind w:firstLine="540"/>
        <w:jc w:val="both"/>
      </w:pPr>
      <w:hyperlink r:id="rId16" w:history="1">
        <w:r>
          <w:rPr>
            <w:color w:val="0000FF"/>
          </w:rPr>
          <w:t>абзац девятый</w:t>
        </w:r>
      </w:hyperlink>
      <w:r>
        <w:t xml:space="preserve"> дополнить предложением следующего содержания:</w:t>
      </w:r>
    </w:p>
    <w:p w:rsidR="00B07155" w:rsidRDefault="00B0715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71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155" w:rsidRDefault="00B071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155" w:rsidRDefault="00B071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155" w:rsidRDefault="00B07155">
            <w:pPr>
              <w:pStyle w:val="ConsPlusNormal"/>
              <w:jc w:val="both"/>
            </w:pPr>
            <w:r>
              <w:rPr>
                <w:color w:val="392C69"/>
              </w:rPr>
              <w:t xml:space="preserve">Абз. 11 п. 1 </w:t>
            </w:r>
            <w:hyperlink w:anchor="P37" w:history="1">
              <w:r>
                <w:rPr>
                  <w:color w:val="0000FF"/>
                </w:rPr>
                <w:t>применяется</w:t>
              </w:r>
            </w:hyperlink>
            <w:r>
              <w:rPr>
                <w:color w:val="392C69"/>
              </w:rPr>
              <w:t xml:space="preserve"> к правоотношениям, связанным с распределением и предоставлением дотаций на стимулирование повышения качества управления </w:t>
            </w:r>
            <w:proofErr w:type="gramStart"/>
            <w:r>
              <w:rPr>
                <w:color w:val="392C69"/>
              </w:rPr>
              <w:t>муниципальными</w:t>
            </w:r>
            <w:proofErr w:type="gramEnd"/>
            <w:r>
              <w:rPr>
                <w:color w:val="392C69"/>
              </w:rPr>
              <w:t xml:space="preserve"> финансами по итогам первого полугодия 2021 года и последующих отчетных периодов.</w:t>
            </w:r>
          </w:p>
        </w:tc>
        <w:tc>
          <w:tcPr>
            <w:tcW w:w="113" w:type="dxa"/>
            <w:tcBorders>
              <w:top w:val="nil"/>
              <w:left w:val="nil"/>
              <w:bottom w:val="nil"/>
              <w:right w:val="nil"/>
            </w:tcBorders>
            <w:shd w:val="clear" w:color="auto" w:fill="F4F3F8"/>
            <w:tcMar>
              <w:top w:w="0" w:type="dxa"/>
              <w:left w:w="0" w:type="dxa"/>
              <w:bottom w:w="0" w:type="dxa"/>
              <w:right w:w="0" w:type="dxa"/>
            </w:tcMar>
          </w:tcPr>
          <w:p w:rsidR="00B07155" w:rsidRDefault="00B07155">
            <w:pPr>
              <w:spacing w:after="1" w:line="0" w:lineRule="atLeast"/>
            </w:pPr>
          </w:p>
        </w:tc>
      </w:tr>
    </w:tbl>
    <w:p w:rsidR="00B07155" w:rsidRDefault="00B07155">
      <w:pPr>
        <w:pStyle w:val="ConsPlusNormal"/>
        <w:spacing w:before="280"/>
        <w:ind w:firstLine="540"/>
        <w:jc w:val="both"/>
      </w:pPr>
      <w:r>
        <w:t xml:space="preserve">"По итогам исполнения местных бюджетов за первое полугодие 2021 года и за 2021 год данный критерий отбора применяется с учетом особенностей, установленных Федеральным </w:t>
      </w:r>
      <w:hyperlink r:id="rId17" w:history="1">
        <w:r>
          <w:rPr>
            <w:color w:val="0000FF"/>
          </w:rPr>
          <w:t>законом</w:t>
        </w:r>
      </w:hyperlink>
      <w:r>
        <w:t xml:space="preserve">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w:t>
      </w:r>
      <w:proofErr w:type="gramStart"/>
      <w:r>
        <w:t>;"</w:t>
      </w:r>
      <w:proofErr w:type="gramEnd"/>
      <w:r>
        <w:t>;</w:t>
      </w:r>
    </w:p>
    <w:p w:rsidR="00B07155" w:rsidRDefault="00B0715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71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155" w:rsidRDefault="00B071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155" w:rsidRDefault="00B071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155" w:rsidRDefault="00B07155">
            <w:pPr>
              <w:pStyle w:val="ConsPlusNormal"/>
              <w:jc w:val="both"/>
            </w:pPr>
            <w:r>
              <w:rPr>
                <w:color w:val="392C69"/>
              </w:rPr>
              <w:t xml:space="preserve">Абз. 12 п. 1 </w:t>
            </w:r>
            <w:hyperlink w:anchor="P37" w:history="1">
              <w:r>
                <w:rPr>
                  <w:color w:val="0000FF"/>
                </w:rPr>
                <w:t>применяется</w:t>
              </w:r>
            </w:hyperlink>
            <w:r>
              <w:rPr>
                <w:color w:val="392C69"/>
              </w:rPr>
              <w:t xml:space="preserve"> к правоотношениям, связанным с распределением и предоставлением дотаций на стимулирование повышения качества управления </w:t>
            </w:r>
            <w:proofErr w:type="gramStart"/>
            <w:r>
              <w:rPr>
                <w:color w:val="392C69"/>
              </w:rPr>
              <w:t>муниципальными</w:t>
            </w:r>
            <w:proofErr w:type="gramEnd"/>
            <w:r>
              <w:rPr>
                <w:color w:val="392C69"/>
              </w:rPr>
              <w:t xml:space="preserve"> финансами по итогам первого полугодия 2021 года и последующих отчетных периодов.</w:t>
            </w:r>
          </w:p>
        </w:tc>
        <w:tc>
          <w:tcPr>
            <w:tcW w:w="113" w:type="dxa"/>
            <w:tcBorders>
              <w:top w:val="nil"/>
              <w:left w:val="nil"/>
              <w:bottom w:val="nil"/>
              <w:right w:val="nil"/>
            </w:tcBorders>
            <w:shd w:val="clear" w:color="auto" w:fill="F4F3F8"/>
            <w:tcMar>
              <w:top w:w="0" w:type="dxa"/>
              <w:left w:w="0" w:type="dxa"/>
              <w:bottom w:w="0" w:type="dxa"/>
              <w:right w:w="0" w:type="dxa"/>
            </w:tcMar>
          </w:tcPr>
          <w:p w:rsidR="00B07155" w:rsidRDefault="00B07155">
            <w:pPr>
              <w:spacing w:after="1" w:line="0" w:lineRule="atLeast"/>
            </w:pPr>
          </w:p>
        </w:tc>
      </w:tr>
    </w:tbl>
    <w:p w:rsidR="00B07155" w:rsidRDefault="00B07155">
      <w:pPr>
        <w:pStyle w:val="ConsPlusNormal"/>
        <w:spacing w:before="280"/>
        <w:ind w:firstLine="540"/>
        <w:jc w:val="both"/>
      </w:pPr>
      <w:bookmarkStart w:id="1" w:name="P35"/>
      <w:bookmarkEnd w:id="1"/>
      <w:r>
        <w:t xml:space="preserve">в приложении 1 к Методике изложить </w:t>
      </w:r>
      <w:hyperlink r:id="rId18" w:history="1">
        <w:r>
          <w:rPr>
            <w:color w:val="0000FF"/>
          </w:rPr>
          <w:t>пункт 9</w:t>
        </w:r>
      </w:hyperlink>
      <w:r>
        <w:t xml:space="preserve"> и </w:t>
      </w:r>
      <w:hyperlink r:id="rId19" w:history="1">
        <w:r>
          <w:rPr>
            <w:color w:val="0000FF"/>
          </w:rPr>
          <w:t>дополнить</w:t>
        </w:r>
      </w:hyperlink>
      <w:r>
        <w:t xml:space="preserve"> пунктом 15.1 в редакции согласно </w:t>
      </w:r>
      <w:hyperlink w:anchor="P52" w:history="1">
        <w:r>
          <w:rPr>
            <w:color w:val="0000FF"/>
          </w:rPr>
          <w:t>приложению</w:t>
        </w:r>
      </w:hyperlink>
      <w:r>
        <w:t xml:space="preserve"> к настоящему Постановлению.</w:t>
      </w:r>
    </w:p>
    <w:p w:rsidR="00B07155" w:rsidRDefault="00B07155">
      <w:pPr>
        <w:pStyle w:val="ConsPlusNormal"/>
        <w:spacing w:before="220"/>
        <w:ind w:firstLine="540"/>
        <w:jc w:val="both"/>
      </w:pPr>
      <w:r>
        <w:t>2. Опубликовать настоящее Постановление в средствах массовой информации и на официальном сайте Правительства Самарской области в сети Интернет.</w:t>
      </w:r>
    </w:p>
    <w:p w:rsidR="00B07155" w:rsidRDefault="00B07155">
      <w:pPr>
        <w:pStyle w:val="ConsPlusNormal"/>
        <w:spacing w:before="220"/>
        <w:ind w:firstLine="540"/>
        <w:jc w:val="both"/>
      </w:pPr>
      <w:bookmarkStart w:id="2" w:name="P37"/>
      <w:bookmarkEnd w:id="2"/>
      <w:r>
        <w:t xml:space="preserve">3. </w:t>
      </w:r>
      <w:proofErr w:type="gramStart"/>
      <w:r>
        <w:t xml:space="preserve">Настоящее Постановление вступает в силу со дня его официального опубликования, за исключением абзацев с </w:t>
      </w:r>
      <w:hyperlink w:anchor="P27" w:history="1">
        <w:r>
          <w:rPr>
            <w:color w:val="0000FF"/>
          </w:rPr>
          <w:t>восьмого</w:t>
        </w:r>
      </w:hyperlink>
      <w:r>
        <w:t xml:space="preserve"> по </w:t>
      </w:r>
      <w:hyperlink w:anchor="P35" w:history="1">
        <w:r>
          <w:rPr>
            <w:color w:val="0000FF"/>
          </w:rPr>
          <w:t>двенадцатый пункта 1</w:t>
        </w:r>
      </w:hyperlink>
      <w:r>
        <w:t xml:space="preserve"> настоящего Постановления, которые вступают в силу со дня официального опубликования настоящего Постановления и применяются к правоотношениям, связанным с распределением и предоставлением дотаций на стимулирование повышения качества управления муниципальными финансами по итогам первого полугодия 2021 года и последующих отчетных периодов.</w:t>
      </w:r>
      <w:proofErr w:type="gramEnd"/>
    </w:p>
    <w:p w:rsidR="00B07155" w:rsidRDefault="00B07155">
      <w:pPr>
        <w:pStyle w:val="ConsPlusNormal"/>
        <w:jc w:val="both"/>
      </w:pPr>
    </w:p>
    <w:p w:rsidR="00B07155" w:rsidRDefault="00B07155">
      <w:pPr>
        <w:pStyle w:val="ConsPlusNormal"/>
        <w:jc w:val="right"/>
      </w:pPr>
      <w:r>
        <w:t>Первый вице-губернатор - председатель</w:t>
      </w:r>
    </w:p>
    <w:p w:rsidR="00B07155" w:rsidRDefault="00B07155">
      <w:pPr>
        <w:pStyle w:val="ConsPlusNormal"/>
        <w:jc w:val="right"/>
      </w:pPr>
      <w:r>
        <w:lastRenderedPageBreak/>
        <w:t>Правительства Самарской области</w:t>
      </w:r>
    </w:p>
    <w:p w:rsidR="00B07155" w:rsidRDefault="00B07155">
      <w:pPr>
        <w:pStyle w:val="ConsPlusNormal"/>
        <w:jc w:val="right"/>
      </w:pPr>
      <w:r>
        <w:t>В.В.КУДРЯШОВ</w:t>
      </w:r>
    </w:p>
    <w:p w:rsidR="00B07155" w:rsidRDefault="00B07155">
      <w:pPr>
        <w:pStyle w:val="ConsPlusNormal"/>
        <w:jc w:val="both"/>
      </w:pPr>
    </w:p>
    <w:p w:rsidR="00B07155" w:rsidRDefault="00B07155">
      <w:pPr>
        <w:pStyle w:val="ConsPlusNormal"/>
        <w:jc w:val="both"/>
      </w:pPr>
    </w:p>
    <w:p w:rsidR="00B07155" w:rsidRDefault="00B07155">
      <w:pPr>
        <w:pStyle w:val="ConsPlusNormal"/>
        <w:jc w:val="both"/>
      </w:pPr>
    </w:p>
    <w:p w:rsidR="00B07155" w:rsidRDefault="00B07155">
      <w:pPr>
        <w:pStyle w:val="ConsPlusNormal"/>
        <w:jc w:val="both"/>
      </w:pPr>
    </w:p>
    <w:p w:rsidR="00B07155" w:rsidRDefault="00B07155">
      <w:pPr>
        <w:pStyle w:val="ConsPlusNormal"/>
        <w:jc w:val="both"/>
      </w:pPr>
    </w:p>
    <w:p w:rsidR="00B07155" w:rsidRDefault="00B07155">
      <w:pPr>
        <w:pStyle w:val="ConsPlusNormal"/>
        <w:jc w:val="right"/>
        <w:outlineLvl w:val="0"/>
      </w:pPr>
      <w:r>
        <w:t>Приложение</w:t>
      </w:r>
    </w:p>
    <w:p w:rsidR="00B07155" w:rsidRDefault="00B07155">
      <w:pPr>
        <w:pStyle w:val="ConsPlusNormal"/>
        <w:jc w:val="right"/>
      </w:pPr>
      <w:r>
        <w:t>к Постановлению</w:t>
      </w:r>
    </w:p>
    <w:p w:rsidR="00B07155" w:rsidRDefault="00B07155">
      <w:pPr>
        <w:pStyle w:val="ConsPlusNormal"/>
        <w:jc w:val="right"/>
      </w:pPr>
      <w:r>
        <w:t>Правительства Самарской области</w:t>
      </w:r>
    </w:p>
    <w:p w:rsidR="00B07155" w:rsidRDefault="00B07155">
      <w:pPr>
        <w:pStyle w:val="ConsPlusNormal"/>
        <w:jc w:val="right"/>
      </w:pPr>
      <w:r>
        <w:t>от 8 октября 2021 г. N 767</w:t>
      </w:r>
    </w:p>
    <w:p w:rsidR="00B07155" w:rsidRDefault="00B07155">
      <w:pPr>
        <w:pStyle w:val="ConsPlusNormal"/>
        <w:jc w:val="both"/>
      </w:pPr>
    </w:p>
    <w:p w:rsidR="00B07155" w:rsidRDefault="00B07155">
      <w:pPr>
        <w:pStyle w:val="ConsPlusTitle"/>
        <w:jc w:val="center"/>
      </w:pPr>
      <w:bookmarkStart w:id="3" w:name="P52"/>
      <w:bookmarkEnd w:id="3"/>
      <w:r>
        <w:t>ПОКАЗАТЕЛИ</w:t>
      </w:r>
    </w:p>
    <w:p w:rsidR="00B07155" w:rsidRDefault="00B07155">
      <w:pPr>
        <w:pStyle w:val="ConsPlusTitle"/>
        <w:jc w:val="center"/>
      </w:pPr>
      <w:r>
        <w:t>КАЧЕСТВА УПРАВЛЕНИЯ МУНИЦИПАЛЬНЫМИ ФИНАНСАМИ</w:t>
      </w:r>
    </w:p>
    <w:p w:rsidR="00B07155" w:rsidRDefault="00B07155">
      <w:pPr>
        <w:pStyle w:val="ConsPlusNormal"/>
        <w:jc w:val="both"/>
      </w:pPr>
    </w:p>
    <w:p w:rsidR="00B07155" w:rsidRDefault="00B07155">
      <w:pPr>
        <w:sectPr w:rsidR="00B07155" w:rsidSect="0021339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7"/>
        <w:gridCol w:w="2280"/>
        <w:gridCol w:w="5613"/>
        <w:gridCol w:w="3231"/>
        <w:gridCol w:w="1579"/>
      </w:tblGrid>
      <w:tr w:rsidR="00B07155">
        <w:tc>
          <w:tcPr>
            <w:tcW w:w="797" w:type="dxa"/>
            <w:tcBorders>
              <w:top w:val="single" w:sz="4" w:space="0" w:color="auto"/>
              <w:bottom w:val="single" w:sz="4" w:space="0" w:color="auto"/>
            </w:tcBorders>
          </w:tcPr>
          <w:p w:rsidR="00B07155" w:rsidRDefault="00B07155">
            <w:pPr>
              <w:pStyle w:val="ConsPlusNormal"/>
              <w:jc w:val="center"/>
            </w:pPr>
            <w:r>
              <w:lastRenderedPageBreak/>
              <w:t xml:space="preserve">N </w:t>
            </w:r>
            <w:proofErr w:type="gramStart"/>
            <w:r>
              <w:t>п</w:t>
            </w:r>
            <w:proofErr w:type="gramEnd"/>
            <w:r>
              <w:t>/п</w:t>
            </w:r>
          </w:p>
        </w:tc>
        <w:tc>
          <w:tcPr>
            <w:tcW w:w="2280" w:type="dxa"/>
            <w:tcBorders>
              <w:top w:val="single" w:sz="4" w:space="0" w:color="auto"/>
              <w:bottom w:val="single" w:sz="4" w:space="0" w:color="auto"/>
            </w:tcBorders>
          </w:tcPr>
          <w:p w:rsidR="00B07155" w:rsidRDefault="00B07155">
            <w:pPr>
              <w:pStyle w:val="ConsPlusNormal"/>
              <w:jc w:val="center"/>
            </w:pPr>
            <w:r>
              <w:t>Наименование показателя</w:t>
            </w:r>
          </w:p>
        </w:tc>
        <w:tc>
          <w:tcPr>
            <w:tcW w:w="5613" w:type="dxa"/>
            <w:tcBorders>
              <w:top w:val="single" w:sz="4" w:space="0" w:color="auto"/>
              <w:bottom w:val="single" w:sz="4" w:space="0" w:color="auto"/>
            </w:tcBorders>
          </w:tcPr>
          <w:p w:rsidR="00B07155" w:rsidRDefault="00B07155">
            <w:pPr>
              <w:pStyle w:val="ConsPlusNormal"/>
              <w:jc w:val="center"/>
            </w:pPr>
            <w:r>
              <w:t>Порядок расчета показателя</w:t>
            </w:r>
          </w:p>
        </w:tc>
        <w:tc>
          <w:tcPr>
            <w:tcW w:w="3231" w:type="dxa"/>
            <w:tcBorders>
              <w:top w:val="single" w:sz="4" w:space="0" w:color="auto"/>
              <w:bottom w:val="single" w:sz="4" w:space="0" w:color="auto"/>
            </w:tcBorders>
          </w:tcPr>
          <w:p w:rsidR="00B07155" w:rsidRDefault="00B07155">
            <w:pPr>
              <w:pStyle w:val="ConsPlusNormal"/>
              <w:jc w:val="center"/>
            </w:pPr>
            <w:r>
              <w:t>Перечень представляемых документов</w:t>
            </w:r>
          </w:p>
        </w:tc>
        <w:tc>
          <w:tcPr>
            <w:tcW w:w="1579" w:type="dxa"/>
            <w:tcBorders>
              <w:top w:val="single" w:sz="4" w:space="0" w:color="auto"/>
              <w:bottom w:val="single" w:sz="4" w:space="0" w:color="auto"/>
            </w:tcBorders>
          </w:tcPr>
          <w:p w:rsidR="00B07155" w:rsidRDefault="00B07155">
            <w:pPr>
              <w:pStyle w:val="ConsPlusNormal"/>
              <w:jc w:val="center"/>
            </w:pPr>
            <w:r>
              <w:t>Вес показателя</w:t>
            </w:r>
          </w:p>
        </w:tc>
      </w:tr>
      <w:tr w:rsidR="00B07155">
        <w:tblPrEx>
          <w:tblBorders>
            <w:left w:val="none" w:sz="0" w:space="0" w:color="auto"/>
            <w:right w:val="none" w:sz="0" w:space="0" w:color="auto"/>
            <w:insideH w:val="none" w:sz="0" w:space="0" w:color="auto"/>
            <w:insideV w:val="none" w:sz="0" w:space="0" w:color="auto"/>
          </w:tblBorders>
        </w:tblPrEx>
        <w:tc>
          <w:tcPr>
            <w:tcW w:w="797" w:type="dxa"/>
            <w:tcBorders>
              <w:top w:val="single" w:sz="4" w:space="0" w:color="auto"/>
              <w:left w:val="nil"/>
              <w:bottom w:val="nil"/>
              <w:right w:val="nil"/>
            </w:tcBorders>
          </w:tcPr>
          <w:p w:rsidR="00B07155" w:rsidRDefault="00B07155">
            <w:pPr>
              <w:pStyle w:val="ConsPlusNormal"/>
              <w:jc w:val="center"/>
            </w:pPr>
            <w:r>
              <w:t>9.</w:t>
            </w:r>
          </w:p>
        </w:tc>
        <w:tc>
          <w:tcPr>
            <w:tcW w:w="2280" w:type="dxa"/>
            <w:tcBorders>
              <w:top w:val="single" w:sz="4" w:space="0" w:color="auto"/>
              <w:left w:val="nil"/>
              <w:bottom w:val="nil"/>
              <w:right w:val="nil"/>
            </w:tcBorders>
          </w:tcPr>
          <w:p w:rsidR="00B07155" w:rsidRDefault="00B07155">
            <w:pPr>
              <w:pStyle w:val="ConsPlusNormal"/>
            </w:pPr>
            <w:r>
              <w:t>Размер кредиторской задолженности на одного жителя муниципального образования</w:t>
            </w:r>
          </w:p>
        </w:tc>
        <w:tc>
          <w:tcPr>
            <w:tcW w:w="5613" w:type="dxa"/>
            <w:tcBorders>
              <w:top w:val="single" w:sz="4" w:space="0" w:color="auto"/>
              <w:left w:val="nil"/>
              <w:bottom w:val="nil"/>
              <w:right w:val="nil"/>
            </w:tcBorders>
          </w:tcPr>
          <w:p w:rsidR="00B07155" w:rsidRDefault="00B07155">
            <w:pPr>
              <w:pStyle w:val="ConsPlusNormal"/>
            </w:pPr>
            <w:proofErr w:type="gramStart"/>
            <w:r>
              <w:t>Отношение суммы кредиторской задолженности (за исключением кредиторской задолженности, связанной с расчетами по зачисленным в местный бюджет доходам, расчетами по оплате труда и начислениям на выплаты по оплате труда, расчетами по социальным пособиям и компенсациям персоналу в денежной форме, расчетами по налогу на доходы физических лиц, расчетами по страховым взносам на обязательное социальное страхование на случай временной нетрудоспособности и в связи</w:t>
            </w:r>
            <w:proofErr w:type="gramEnd"/>
            <w:r>
              <w:t xml:space="preserve"> </w:t>
            </w:r>
            <w:proofErr w:type="gramStart"/>
            <w:r>
              <w:t>с материнством, расчетами по прочим платежам в бюджет в части расчетов по возврату неиспользованных остатков целевых межбюджетных трансфертов прошлых лет, расчетами по страховым взносам на обязательное социальное страхование от несчастных случаев на производстве и профессиональных заболеваний, расчетами по страховым взносам на обязательное медицинское страхование в Федеральный фонд обязательного медицинского страхования, расчетами по страховым взносам на обязательное медицинское страхование в территориальный</w:t>
            </w:r>
            <w:proofErr w:type="gramEnd"/>
            <w:r>
              <w:t xml:space="preserve"> </w:t>
            </w:r>
            <w:proofErr w:type="gramStart"/>
            <w:r>
              <w:t>фонд обязательного медицинского страхования, расчетами по дополнительным страховым взносам на пенсионное страхование, расчетами по страховым взносам на обязательное пенсионное страхование на выплату страховой части трудовой пенсии, расчетами по страховым взносам на обязательное пенсионное страхование на выплату накопительной части трудовой пенсии, расчетами по удержаниям из выплат по оплате труда) бюджета городского округа (консолидированного бюджета муниципального образования) к численности постоянного населения муниципального</w:t>
            </w:r>
            <w:proofErr w:type="gramEnd"/>
            <w:r>
              <w:t xml:space="preserve"> образования, по </w:t>
            </w:r>
            <w:r>
              <w:lastRenderedPageBreak/>
              <w:t>данным органов статистики, на начало текущего финансового года (при отсутствии данных о численности постоянного населения на начало текущего финансового года используются данные на начало отчетного финансового года)</w:t>
            </w:r>
          </w:p>
        </w:tc>
        <w:tc>
          <w:tcPr>
            <w:tcW w:w="3231" w:type="dxa"/>
            <w:tcBorders>
              <w:top w:val="single" w:sz="4" w:space="0" w:color="auto"/>
              <w:left w:val="nil"/>
              <w:bottom w:val="nil"/>
              <w:right w:val="nil"/>
            </w:tcBorders>
          </w:tcPr>
          <w:p w:rsidR="00B07155" w:rsidRDefault="00B07155">
            <w:pPr>
              <w:pStyle w:val="ConsPlusNormal"/>
            </w:pPr>
            <w:r>
              <w:lastRenderedPageBreak/>
              <w:t xml:space="preserve">Сведения по дебиторской и кредиторской задолженности (в части кредиторской задолженности по бюджетной деятельности) по </w:t>
            </w:r>
            <w:hyperlink r:id="rId20" w:history="1">
              <w:r>
                <w:rPr>
                  <w:color w:val="0000FF"/>
                </w:rPr>
                <w:t>форме 0503169</w:t>
              </w:r>
            </w:hyperlink>
            <w:r>
              <w:t xml:space="preserve"> </w:t>
            </w:r>
            <w:hyperlink r:id="rId21" w:history="1">
              <w:r>
                <w:rPr>
                  <w:color w:val="0000FF"/>
                </w:rPr>
                <w:t>(0503369)</w:t>
              </w:r>
            </w:hyperlink>
            <w:r>
              <w:t xml:space="preserve">, утвержденной </w:t>
            </w:r>
            <w:hyperlink r:id="rId22" w:history="1">
              <w:r>
                <w:rPr>
                  <w:color w:val="0000FF"/>
                </w:rPr>
                <w:t>приказом</w:t>
              </w:r>
            </w:hyperlink>
            <w:r>
              <w:t xml:space="preserve"> Министерства финансов Российской Федерации от 28.12.2010 N 191н; </w:t>
            </w:r>
            <w:hyperlink r:id="rId23" w:history="1">
              <w:r>
                <w:rPr>
                  <w:color w:val="0000FF"/>
                </w:rPr>
                <w:t>форма 0503387</w:t>
              </w:r>
            </w:hyperlink>
            <w:r>
              <w:t xml:space="preserve"> "Справочная таблица к отчету об исполнении консолидированного бюджета субъекта Российской Федерации"</w:t>
            </w:r>
          </w:p>
        </w:tc>
        <w:tc>
          <w:tcPr>
            <w:tcW w:w="1579" w:type="dxa"/>
            <w:tcBorders>
              <w:top w:val="single" w:sz="4" w:space="0" w:color="auto"/>
              <w:left w:val="nil"/>
              <w:bottom w:val="nil"/>
              <w:right w:val="nil"/>
            </w:tcBorders>
          </w:tcPr>
          <w:p w:rsidR="00B07155" w:rsidRDefault="00B07155">
            <w:pPr>
              <w:pStyle w:val="ConsPlusNormal"/>
              <w:jc w:val="center"/>
            </w:pPr>
            <w:r>
              <w:t>-1</w:t>
            </w:r>
          </w:p>
        </w:tc>
      </w:tr>
      <w:tr w:rsidR="00B07155">
        <w:tblPrEx>
          <w:tblBorders>
            <w:left w:val="none" w:sz="0" w:space="0" w:color="auto"/>
            <w:right w:val="none" w:sz="0" w:space="0" w:color="auto"/>
            <w:insideH w:val="none" w:sz="0" w:space="0" w:color="auto"/>
            <w:insideV w:val="none" w:sz="0" w:space="0" w:color="auto"/>
          </w:tblBorders>
        </w:tblPrEx>
        <w:tc>
          <w:tcPr>
            <w:tcW w:w="797" w:type="dxa"/>
            <w:tcBorders>
              <w:top w:val="nil"/>
              <w:left w:val="nil"/>
              <w:bottom w:val="nil"/>
              <w:right w:val="nil"/>
            </w:tcBorders>
          </w:tcPr>
          <w:p w:rsidR="00B07155" w:rsidRDefault="00B07155">
            <w:pPr>
              <w:pStyle w:val="ConsPlusNormal"/>
              <w:jc w:val="center"/>
            </w:pPr>
            <w:r>
              <w:lastRenderedPageBreak/>
              <w:t>15.1.</w:t>
            </w:r>
          </w:p>
        </w:tc>
        <w:tc>
          <w:tcPr>
            <w:tcW w:w="2280" w:type="dxa"/>
            <w:tcBorders>
              <w:top w:val="nil"/>
              <w:left w:val="nil"/>
              <w:bottom w:val="nil"/>
              <w:right w:val="nil"/>
            </w:tcBorders>
          </w:tcPr>
          <w:p w:rsidR="00B07155" w:rsidRDefault="00B07155">
            <w:pPr>
              <w:pStyle w:val="ConsPlusNormal"/>
            </w:pPr>
            <w:r>
              <w:t>Использование остатков средств, сформированных на счете бюджета, в расчете на 1 жителя муниципального образования</w:t>
            </w:r>
          </w:p>
        </w:tc>
        <w:tc>
          <w:tcPr>
            <w:tcW w:w="5613" w:type="dxa"/>
            <w:tcBorders>
              <w:top w:val="nil"/>
              <w:left w:val="nil"/>
              <w:bottom w:val="nil"/>
              <w:right w:val="nil"/>
            </w:tcBorders>
          </w:tcPr>
          <w:p w:rsidR="00B07155" w:rsidRDefault="00B07155">
            <w:pPr>
              <w:pStyle w:val="ConsPlusNormal"/>
            </w:pPr>
            <w:r>
              <w:t>Показатель (П</w:t>
            </w:r>
            <w:proofErr w:type="gramStart"/>
            <w:r>
              <w:rPr>
                <w:vertAlign w:val="subscript"/>
              </w:rPr>
              <w:t>i</w:t>
            </w:r>
            <w:proofErr w:type="gramEnd"/>
            <w:r>
              <w:t>) рассчитывается по формуле</w:t>
            </w:r>
          </w:p>
          <w:p w:rsidR="00B07155" w:rsidRDefault="00B07155">
            <w:pPr>
              <w:pStyle w:val="ConsPlusNormal"/>
              <w:jc w:val="center"/>
            </w:pPr>
            <w:r>
              <w:t>П</w:t>
            </w:r>
            <w:proofErr w:type="gramStart"/>
            <w:r>
              <w:rPr>
                <w:vertAlign w:val="subscript"/>
              </w:rPr>
              <w:t>i</w:t>
            </w:r>
            <w:proofErr w:type="gramEnd"/>
            <w:r>
              <w:t xml:space="preserve"> = О</w:t>
            </w:r>
            <w:r>
              <w:rPr>
                <w:vertAlign w:val="subscript"/>
              </w:rPr>
              <w:t>i</w:t>
            </w:r>
            <w:r>
              <w:t xml:space="preserve"> - О</w:t>
            </w:r>
            <w:r>
              <w:rPr>
                <w:vertAlign w:val="subscript"/>
              </w:rPr>
              <w:t>ср</w:t>
            </w:r>
            <w:r>
              <w:t xml:space="preserve"> x 3,</w:t>
            </w:r>
          </w:p>
          <w:p w:rsidR="00B07155" w:rsidRDefault="00B07155">
            <w:pPr>
              <w:pStyle w:val="ConsPlusNormal"/>
            </w:pPr>
            <w:proofErr w:type="gramStart"/>
            <w:r>
              <w:t>где О</w:t>
            </w:r>
            <w:r>
              <w:rPr>
                <w:vertAlign w:val="subscript"/>
              </w:rPr>
              <w:t>i</w:t>
            </w:r>
            <w:r>
              <w:t xml:space="preserve"> - отношение годовой суммы снижения остатков средств на счетах по учету средств бюджета i-го муниципального образования (за исключением остатков средств федерального и областного бюджетов, целевых средств из других местных бюджетов, целевых средств от индивидуальных предпринимателей и организаций, средств муниципального дорожного фонда) к численности населения i-го муниципального образования, по данным органов статистики, на начало текущего финансового года;</w:t>
            </w:r>
            <w:proofErr w:type="gramEnd"/>
          </w:p>
          <w:p w:rsidR="00B07155" w:rsidRDefault="00B07155">
            <w:pPr>
              <w:pStyle w:val="ConsPlusNormal"/>
            </w:pPr>
            <w:proofErr w:type="gramStart"/>
            <w:r>
              <w:t>О</w:t>
            </w:r>
            <w:r>
              <w:rPr>
                <w:vertAlign w:val="subscript"/>
              </w:rPr>
              <w:t>ср</w:t>
            </w:r>
            <w:r>
              <w:t xml:space="preserve"> - отношение годовой суммы снижения остатков средств на счетах по учету средств бюджетов городских округов (включая городской округ с внутригородским делением) и муниципальных районов Самарской области (за исключением остатков средств федерального и областного бюджетов, целевых средств из других местных бюджетов, целевых средств от индивидуальных предпринимателей и организаций, средств муниципального дорожного фонда) к численности населения Самарской области, по данным органов статистики</w:t>
            </w:r>
            <w:proofErr w:type="gramEnd"/>
            <w:r>
              <w:t>, на начало текущего финансового года. При отсутствии данных о численности постоянного населения на начало текущего финансового года используются данные на начало отчетного финансового года.</w:t>
            </w:r>
          </w:p>
          <w:p w:rsidR="00B07155" w:rsidRDefault="00B07155">
            <w:pPr>
              <w:pStyle w:val="ConsPlusNormal"/>
            </w:pPr>
            <w:r>
              <w:t>Если П</w:t>
            </w:r>
            <w:r>
              <w:rPr>
                <w:vertAlign w:val="subscript"/>
              </w:rPr>
              <w:t>i</w:t>
            </w:r>
            <w:r>
              <w:t xml:space="preserve"> &lt; 0, то значение показателя принимается </w:t>
            </w:r>
            <w:proofErr w:type="gramStart"/>
            <w:r>
              <w:t>равным</w:t>
            </w:r>
            <w:proofErr w:type="gramEnd"/>
            <w:r>
              <w:t xml:space="preserve"> нулю</w:t>
            </w:r>
          </w:p>
        </w:tc>
        <w:tc>
          <w:tcPr>
            <w:tcW w:w="3231" w:type="dxa"/>
            <w:tcBorders>
              <w:top w:val="nil"/>
              <w:left w:val="nil"/>
              <w:bottom w:val="nil"/>
              <w:right w:val="nil"/>
            </w:tcBorders>
          </w:tcPr>
          <w:p w:rsidR="00B07155" w:rsidRDefault="00B07155">
            <w:pPr>
              <w:pStyle w:val="ConsPlusNormal"/>
            </w:pPr>
            <w:proofErr w:type="gramStart"/>
            <w: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по </w:t>
            </w:r>
            <w:hyperlink r:id="rId24" w:history="1">
              <w:r>
                <w:rPr>
                  <w:color w:val="0000FF"/>
                </w:rPr>
                <w:t>форме 0503317</w:t>
              </w:r>
            </w:hyperlink>
            <w:r>
              <w:t xml:space="preserve">, утвержденной приказом Министерства финансов Российской Федерации от 28.12.2010 N 191н; </w:t>
            </w:r>
            <w:hyperlink r:id="rId25" w:history="1">
              <w:r>
                <w:rPr>
                  <w:color w:val="0000FF"/>
                </w:rPr>
                <w:t>информация</w:t>
              </w:r>
            </w:hyperlink>
            <w:r>
              <w:t xml:space="preserve"> по остаткам средств на счетах местных бюджетов по форме согласно приложению 1 к приказу министерства управления финансами Самарской области от 18.06.2010 N 01-21/61 по состоянию на начало отчетного периода</w:t>
            </w:r>
            <w:proofErr w:type="gramEnd"/>
          </w:p>
        </w:tc>
        <w:tc>
          <w:tcPr>
            <w:tcW w:w="1579" w:type="dxa"/>
            <w:tcBorders>
              <w:top w:val="nil"/>
              <w:left w:val="nil"/>
              <w:bottom w:val="nil"/>
              <w:right w:val="nil"/>
            </w:tcBorders>
          </w:tcPr>
          <w:p w:rsidR="00B07155" w:rsidRDefault="00B07155">
            <w:pPr>
              <w:pStyle w:val="ConsPlusNormal"/>
              <w:jc w:val="center"/>
            </w:pPr>
            <w:r>
              <w:t>-2</w:t>
            </w:r>
          </w:p>
        </w:tc>
      </w:tr>
    </w:tbl>
    <w:p w:rsidR="00B07155" w:rsidRDefault="00B07155">
      <w:pPr>
        <w:pStyle w:val="ConsPlusNormal"/>
        <w:jc w:val="both"/>
      </w:pPr>
    </w:p>
    <w:p w:rsidR="00B07155" w:rsidRDefault="00B07155">
      <w:pPr>
        <w:pStyle w:val="ConsPlusNormal"/>
        <w:jc w:val="both"/>
      </w:pPr>
    </w:p>
    <w:p w:rsidR="00B07155" w:rsidRDefault="00B07155">
      <w:pPr>
        <w:pStyle w:val="ConsPlusNormal"/>
        <w:pBdr>
          <w:top w:val="single" w:sz="6" w:space="0" w:color="auto"/>
        </w:pBdr>
        <w:spacing w:before="100" w:after="100"/>
        <w:jc w:val="both"/>
        <w:rPr>
          <w:sz w:val="2"/>
          <w:szCs w:val="2"/>
        </w:rPr>
      </w:pPr>
    </w:p>
    <w:p w:rsidR="000C45BE" w:rsidRDefault="000C45BE"/>
    <w:sectPr w:rsidR="000C45BE" w:rsidSect="00EF13B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B07155"/>
    <w:rsid w:val="000C45BE"/>
    <w:rsid w:val="001A7A97"/>
    <w:rsid w:val="002E2D87"/>
    <w:rsid w:val="00424F15"/>
    <w:rsid w:val="00457B3A"/>
    <w:rsid w:val="004B0745"/>
    <w:rsid w:val="004F1E6F"/>
    <w:rsid w:val="00542B25"/>
    <w:rsid w:val="00611F59"/>
    <w:rsid w:val="006B156F"/>
    <w:rsid w:val="0081405F"/>
    <w:rsid w:val="0083371A"/>
    <w:rsid w:val="00860F7A"/>
    <w:rsid w:val="0088593C"/>
    <w:rsid w:val="0095061F"/>
    <w:rsid w:val="009D36C1"/>
    <w:rsid w:val="00A31CA9"/>
    <w:rsid w:val="00B07155"/>
    <w:rsid w:val="00BF7B4D"/>
    <w:rsid w:val="00CF4A43"/>
    <w:rsid w:val="00D66841"/>
    <w:rsid w:val="00F948DB"/>
    <w:rsid w:val="00FF0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5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1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71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71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EADD0131A13A551AF7CB0C1EA8E6482D6051DAA368D098E9CEBEFEC370C9BFD229537871069D6CB077DBCB13D64A1018sDQ4M" TargetMode="External"/><Relationship Id="rId13" Type="http://schemas.openxmlformats.org/officeDocument/2006/relationships/hyperlink" Target="consultantplus://offline/ref=D0EADD0131A13A551AF7CB0C1EA8E6482D6051DAA368D098E9CEBEFEC370C9BFD22953786306C560B174C5C91FC31C415E83A1DE6F55BC205EE4C49Fs8Q6M" TargetMode="External"/><Relationship Id="rId18" Type="http://schemas.openxmlformats.org/officeDocument/2006/relationships/hyperlink" Target="consultantplus://offline/ref=D0EADD0131A13A551AF7CB0C1EA8E6482D6051DAA368D098E9CEBEFEC370C9BFD22953786306C560B174C1C21EC31C415E83A1DE6F55BC205EE4C49Fs8Q6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0EADD0131A13A551AF7D50108C4BA4028620DD0A56CD8CEBD92B8A99C20CFEA9269552D2247C167BA20948F42C5491304D6A8C16E4BBEs2Q6M" TargetMode="External"/><Relationship Id="rId7" Type="http://schemas.openxmlformats.org/officeDocument/2006/relationships/hyperlink" Target="consultantplus://offline/ref=D0EADD0131A13A551AF7CB0C1EA8E6482D6051DAA368D590E6C3BEFEC370C9BFD229537871069D6CB077DBCB13D64A1018sDQ4M" TargetMode="External"/><Relationship Id="rId12" Type="http://schemas.openxmlformats.org/officeDocument/2006/relationships/hyperlink" Target="consultantplus://offline/ref=D0EADD0131A13A551AF7CB0C1EA8E6482D6051DAA368D098E9CEBEFEC370C9BFD22953786306C560B174C2CD17C31C415E83A1DE6F55BC205EE4C49Fs8Q6M" TargetMode="External"/><Relationship Id="rId17" Type="http://schemas.openxmlformats.org/officeDocument/2006/relationships/hyperlink" Target="consultantplus://offline/ref=D0EADD0131A13A551AF7D50108C4BA40286307DEA168D8CEBD92B8A99C20CFEA80690D212141D661B56AC7CB15sCQAM" TargetMode="External"/><Relationship Id="rId25" Type="http://schemas.openxmlformats.org/officeDocument/2006/relationships/hyperlink" Target="consultantplus://offline/ref=D0EADD0131A13A551AF7CB0C1EA8E6482D6051DAA368D39FE8C5BEFEC370C9BFD22953786306C560B174C6CB12C31C415E83A1DE6F55BC205EE4C49Fs8Q6M" TargetMode="External"/><Relationship Id="rId2" Type="http://schemas.openxmlformats.org/officeDocument/2006/relationships/settings" Target="settings.xml"/><Relationship Id="rId16" Type="http://schemas.openxmlformats.org/officeDocument/2006/relationships/hyperlink" Target="consultantplus://offline/ref=D0EADD0131A13A551AF7CB0C1EA8E6482D6051DAA368D098E9CEBEFEC370C9BFD22953786306C560B174C2CD15C31C415E83A1DE6F55BC205EE4C49Fs8Q6M" TargetMode="External"/><Relationship Id="rId20" Type="http://schemas.openxmlformats.org/officeDocument/2006/relationships/hyperlink" Target="consultantplus://offline/ref=D0EADD0131A13A551AF7D50108C4BA4028620DD0A56CD8CEBD92B8A99C20CFEA926955242646CF6AE525819E1AC94B0E1AD2B2DD6C49sBQEM" TargetMode="External"/><Relationship Id="rId1" Type="http://schemas.openxmlformats.org/officeDocument/2006/relationships/styles" Target="styles.xml"/><Relationship Id="rId6" Type="http://schemas.openxmlformats.org/officeDocument/2006/relationships/hyperlink" Target="consultantplus://offline/ref=D0EADD0131A13A551AF7CB0C1EA8E6482D6051DAA36FD099E1C7BEFEC370C9BFD229537871069D6CB077DBCB13D64A1018sDQ4M" TargetMode="External"/><Relationship Id="rId11" Type="http://schemas.openxmlformats.org/officeDocument/2006/relationships/hyperlink" Target="consultantplus://offline/ref=D0EADD0131A13A551AF7CB0C1EA8E6482D6051DAA368D098E9CEBEFEC370C9BFD22953786306C560B174C0C210C31C415E83A1DE6F55BC205EE4C49Fs8Q6M" TargetMode="External"/><Relationship Id="rId24" Type="http://schemas.openxmlformats.org/officeDocument/2006/relationships/hyperlink" Target="consultantplus://offline/ref=D0EADD0131A13A551AF7D50108C4BA4028620DD0A56CD8CEBD92B8A99C20CFEA9269552D2044CA65B67F919A539D451119C8ACDB7249BC26s4Q2M" TargetMode="External"/><Relationship Id="rId5" Type="http://schemas.openxmlformats.org/officeDocument/2006/relationships/hyperlink" Target="consultantplus://offline/ref=D0EADD0131A13A551AF7D50108C4BA40286306D4A16ED8CEBD92B8A99C20CFEA926955292743C96AE525819E1AC94B0E1AD2B2DD6C49sBQEM" TargetMode="External"/><Relationship Id="rId15" Type="http://schemas.openxmlformats.org/officeDocument/2006/relationships/hyperlink" Target="consultantplus://offline/ref=D0EADD0131A13A551AF7CB0C1EA8E6482D6051DAA368D098E9CEBEFEC370C9BFD22953786306C560B174C6CF11C31C415E83A1DE6F55BC205EE4C49Fs8Q6M" TargetMode="External"/><Relationship Id="rId23" Type="http://schemas.openxmlformats.org/officeDocument/2006/relationships/hyperlink" Target="consultantplus://offline/ref=D0EADD0131A13A551AF7D50108C4BA402A620AD6AB6BD8CEBD92B8A99C20CFEA9269552D2042C861B27F919A539D451119C8ACDB7249BC26s4Q2M" TargetMode="External"/><Relationship Id="rId10" Type="http://schemas.openxmlformats.org/officeDocument/2006/relationships/hyperlink" Target="consultantplus://offline/ref=D0EADD0131A13A551AF7CB0C1EA8E6482D6051DAA368D098E9CEBEFEC370C9BFD22953786306C560B174C2CD13C31C415E83A1DE6F55BC205EE4C49Fs8Q6M" TargetMode="External"/><Relationship Id="rId19" Type="http://schemas.openxmlformats.org/officeDocument/2006/relationships/hyperlink" Target="consultantplus://offline/ref=D0EADD0131A13A551AF7CB0C1EA8E6482D6051DAA368D098E9CEBEFEC370C9BFD22953786306C560B174C5CC17C31C415E83A1DE6F55BC205EE4C49Fs8Q6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0EADD0131A13A551AF7CB0C1EA8E6482D6051DAA368D098E9CEBEFEC370C9BFD22953786306C560B174C3C211C31C415E83A1DE6F55BC205EE4C49Fs8Q6M" TargetMode="External"/><Relationship Id="rId14" Type="http://schemas.openxmlformats.org/officeDocument/2006/relationships/hyperlink" Target="consultantplus://offline/ref=D0EADD0131A13A551AF7CB0C1EA8E6482D6051DAA368D098E9CEBEFEC370C9BFD22953786306C560B174C5C817C31C415E83A1DE6F55BC205EE4C49Fs8Q6M" TargetMode="External"/><Relationship Id="rId22" Type="http://schemas.openxmlformats.org/officeDocument/2006/relationships/hyperlink" Target="consultantplus://offline/ref=D0EADD0131A13A551AF7D50108C4BA4028620DD0A56CD8CEBD92B8A99C20CFEA80690D212141D661B56AC7CB15sCQA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1961</Words>
  <Characters>11181</Characters>
  <Application>Microsoft Office Word</Application>
  <DocSecurity>0</DocSecurity>
  <Lines>93</Lines>
  <Paragraphs>26</Paragraphs>
  <ScaleCrop>false</ScaleCrop>
  <Company>Reanimator Extreme Edition</Company>
  <LinksUpToDate>false</LinksUpToDate>
  <CharactersWithSpaces>13116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dc:creator>
  <cp:lastModifiedBy>Матвеева</cp:lastModifiedBy>
  <cp:revision>1</cp:revision>
  <dcterms:created xsi:type="dcterms:W3CDTF">2022-04-13T12:16:00Z</dcterms:created>
  <dcterms:modified xsi:type="dcterms:W3CDTF">2022-04-13T12:17:00Z</dcterms:modified>
</cp:coreProperties>
</file>