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9A" w:rsidRDefault="00184F9A">
      <w:pPr>
        <w:pStyle w:val="ConsPlusTitlePage"/>
      </w:pPr>
      <w:r>
        <w:t xml:space="preserve">Документ предоставлен </w:t>
      </w:r>
      <w:hyperlink r:id="rId4">
        <w:r>
          <w:rPr>
            <w:color w:val="0000FF"/>
          </w:rPr>
          <w:t>КонсультантПлюс</w:t>
        </w:r>
      </w:hyperlink>
      <w:r>
        <w:br/>
      </w:r>
    </w:p>
    <w:p w:rsidR="00184F9A" w:rsidRDefault="00184F9A">
      <w:pPr>
        <w:pStyle w:val="ConsPlusNormal"/>
        <w:jc w:val="both"/>
        <w:outlineLvl w:val="0"/>
      </w:pPr>
    </w:p>
    <w:p w:rsidR="00184F9A" w:rsidRDefault="00184F9A">
      <w:pPr>
        <w:pStyle w:val="ConsPlusTitle"/>
        <w:jc w:val="center"/>
        <w:outlineLvl w:val="0"/>
      </w:pPr>
      <w:r>
        <w:t>ПРАВИТЕЛЬСТВО САМАРСКОЙ ОБЛАСТИ</w:t>
      </w:r>
    </w:p>
    <w:p w:rsidR="00184F9A" w:rsidRDefault="00184F9A">
      <w:pPr>
        <w:pStyle w:val="ConsPlusTitle"/>
        <w:jc w:val="center"/>
      </w:pPr>
    </w:p>
    <w:p w:rsidR="00184F9A" w:rsidRDefault="00184F9A">
      <w:pPr>
        <w:pStyle w:val="ConsPlusTitle"/>
        <w:jc w:val="center"/>
      </w:pPr>
      <w:r>
        <w:t>ПОСТАНОВЛЕНИЕ</w:t>
      </w:r>
    </w:p>
    <w:p w:rsidR="00184F9A" w:rsidRDefault="00184F9A">
      <w:pPr>
        <w:pStyle w:val="ConsPlusTitle"/>
        <w:jc w:val="center"/>
      </w:pPr>
      <w:r>
        <w:t>от 6 декабря 2022 г. N 1086</w:t>
      </w:r>
    </w:p>
    <w:p w:rsidR="00184F9A" w:rsidRDefault="00184F9A">
      <w:pPr>
        <w:pStyle w:val="ConsPlusTitle"/>
        <w:jc w:val="both"/>
      </w:pPr>
    </w:p>
    <w:p w:rsidR="00184F9A" w:rsidRDefault="00184F9A">
      <w:pPr>
        <w:pStyle w:val="ConsPlusTitle"/>
        <w:jc w:val="center"/>
      </w:pPr>
      <w:r>
        <w:t>ОБ УТВЕРЖДЕНИИ РАСПРЕДЕЛЕНИЯ В 2022 ГОДУ</w:t>
      </w:r>
    </w:p>
    <w:p w:rsidR="00184F9A" w:rsidRDefault="00184F9A">
      <w:pPr>
        <w:pStyle w:val="ConsPlusTitle"/>
        <w:jc w:val="center"/>
      </w:pPr>
      <w:r>
        <w:t>МЕЖДУ МУНИЦИПАЛЬНЫМИ ОБРАЗОВАНИЯМИ САМАРСКОЙ ОБЛАСТИ</w:t>
      </w:r>
    </w:p>
    <w:p w:rsidR="00184F9A" w:rsidRDefault="00184F9A">
      <w:pPr>
        <w:pStyle w:val="ConsPlusTitle"/>
        <w:jc w:val="center"/>
      </w:pPr>
      <w:r>
        <w:t>РАЗМЕРА ПРЕВЫШЕНИЯ РАСЧЕТНОГО РАЗМЕРА ДОТАЦИЙ МЕСТНЫМ</w:t>
      </w:r>
    </w:p>
    <w:p w:rsidR="00184F9A" w:rsidRDefault="00184F9A">
      <w:pPr>
        <w:pStyle w:val="ConsPlusTitle"/>
        <w:jc w:val="center"/>
      </w:pPr>
      <w:r>
        <w:t>БЮДЖЕТАМ НА ПОДДЕРЖКУ МЕР ПО ОБЕСПЕЧЕНИЮ СБАЛАНСИРОВАННОСТИ</w:t>
      </w:r>
    </w:p>
    <w:p w:rsidR="00184F9A" w:rsidRDefault="00184F9A">
      <w:pPr>
        <w:pStyle w:val="ConsPlusTitle"/>
        <w:jc w:val="center"/>
      </w:pPr>
      <w:r>
        <w:t xml:space="preserve">МЕСТНЫХ БЮДЖЕТОВ ЗА 10 МЕСЯЦЕВ 2022 ГОДА НАД </w:t>
      </w:r>
      <w:proofErr w:type="gramStart"/>
      <w:r>
        <w:t>ГОДОВЫМ</w:t>
      </w:r>
      <w:proofErr w:type="gramEnd"/>
    </w:p>
    <w:p w:rsidR="00184F9A" w:rsidRDefault="00184F9A">
      <w:pPr>
        <w:pStyle w:val="ConsPlusTitle"/>
        <w:jc w:val="center"/>
      </w:pPr>
      <w:r>
        <w:t>ОБЪЕМОМ, ПРЕДУСМОТРЕННЫМ ПОСТАНОВЛЕНИЕМ ПРАВИТЕЛЬСТВА</w:t>
      </w:r>
    </w:p>
    <w:p w:rsidR="00184F9A" w:rsidRDefault="00184F9A">
      <w:pPr>
        <w:pStyle w:val="ConsPlusTitle"/>
        <w:jc w:val="center"/>
      </w:pPr>
      <w:r>
        <w:t>САМАРСКОЙ ОБЛАСТИ ОТ 23.12.2021 N 1053 "ОБ УТВЕРЖДЕНИИ</w:t>
      </w:r>
    </w:p>
    <w:p w:rsidR="00184F9A" w:rsidRDefault="00184F9A">
      <w:pPr>
        <w:pStyle w:val="ConsPlusTitle"/>
        <w:jc w:val="center"/>
      </w:pPr>
      <w:r>
        <w:t>РАСПРЕДЕЛЕНИЯ НА 2022 ГОД ГОДОВОГО ОБЪЕМА ДОТАЦИЙ МЕСТНЫМ</w:t>
      </w:r>
    </w:p>
    <w:p w:rsidR="00184F9A" w:rsidRDefault="00184F9A">
      <w:pPr>
        <w:pStyle w:val="ConsPlusTitle"/>
        <w:jc w:val="center"/>
      </w:pPr>
      <w:r>
        <w:t>БЮДЖЕТАМ НА ПОДДЕРЖКУ МЕР ПО ОБЕСПЕЧЕНИЮ</w:t>
      </w:r>
    </w:p>
    <w:p w:rsidR="00184F9A" w:rsidRDefault="00184F9A">
      <w:pPr>
        <w:pStyle w:val="ConsPlusTitle"/>
        <w:jc w:val="center"/>
      </w:pPr>
      <w:r>
        <w:t>СБАЛАНСИРОВАННОСТИ МЕСТНЫХ БЮДЖЕТОВ"</w:t>
      </w:r>
    </w:p>
    <w:p w:rsidR="00184F9A" w:rsidRDefault="00184F9A">
      <w:pPr>
        <w:pStyle w:val="ConsPlusNormal"/>
        <w:jc w:val="both"/>
      </w:pPr>
    </w:p>
    <w:p w:rsidR="00184F9A" w:rsidRDefault="00184F9A">
      <w:pPr>
        <w:pStyle w:val="ConsPlusNormal"/>
        <w:ind w:firstLine="540"/>
        <w:jc w:val="both"/>
      </w:pPr>
      <w:proofErr w:type="gramStart"/>
      <w:r>
        <w:t xml:space="preserve">В соответствии с </w:t>
      </w:r>
      <w:hyperlink r:id="rId5">
        <w:r>
          <w:rPr>
            <w:color w:val="0000FF"/>
          </w:rPr>
          <w:t>постановлением</w:t>
        </w:r>
      </w:hyperlink>
      <w:r>
        <w:t xml:space="preserve"> Правительства Самарской области от 23.12.2019 N 974 "Об утверждении Методики распределения дотаций местным бюджетам на поддержку мер по обеспечению сбалансированности местных бюджетов, правил и условий предоставления из областного бюджета дотаций местным бюджетам на поддержку мер по обеспечению сбалансированности местных бюджетов" в связи с перевыполнением муниципальными образованиями Самарской области показателей социально-экономического развития Правительство Самарской области постановляет:</w:t>
      </w:r>
      <w:proofErr w:type="gramEnd"/>
    </w:p>
    <w:p w:rsidR="00184F9A" w:rsidRDefault="00184F9A">
      <w:pPr>
        <w:pStyle w:val="ConsPlusNormal"/>
        <w:spacing w:before="220"/>
        <w:ind w:firstLine="540"/>
        <w:jc w:val="both"/>
      </w:pPr>
      <w:bookmarkStart w:id="0" w:name="P18"/>
      <w:bookmarkEnd w:id="0"/>
      <w:r>
        <w:t xml:space="preserve">1. </w:t>
      </w:r>
      <w:proofErr w:type="gramStart"/>
      <w:r>
        <w:t xml:space="preserve">Утвердить прилагаемое </w:t>
      </w:r>
      <w:hyperlink w:anchor="P36">
        <w:r>
          <w:rPr>
            <w:color w:val="0000FF"/>
          </w:rPr>
          <w:t>Распределение</w:t>
        </w:r>
      </w:hyperlink>
      <w:r>
        <w:t xml:space="preserve"> в 2022 году между муниципальными образованиями Самарской области размера превышения расчетного размера дотаций местным бюджетам на поддержку мер по обеспечению сбалансированности местных бюджетов за 10 месяцев 2022 года над годовым объемом, предусмотренным постановлением Правительства Самарской области от 23.12.2021 N 1053 "Об утверждении Распределения на 2022 год годового объема дотаций местным бюджетам на поддержку мер по обеспечению сбалансированности</w:t>
      </w:r>
      <w:proofErr w:type="gramEnd"/>
      <w:r>
        <w:t xml:space="preserve"> местных бюджетов".</w:t>
      </w:r>
    </w:p>
    <w:p w:rsidR="00184F9A" w:rsidRDefault="00184F9A">
      <w:pPr>
        <w:pStyle w:val="ConsPlusNormal"/>
        <w:spacing w:before="220"/>
        <w:ind w:firstLine="540"/>
        <w:jc w:val="both"/>
      </w:pPr>
      <w:r>
        <w:t xml:space="preserve">2. </w:t>
      </w:r>
      <w:proofErr w:type="gramStart"/>
      <w:r>
        <w:t xml:space="preserve">Установить, что распределение, утвержденное </w:t>
      </w:r>
      <w:hyperlink w:anchor="P18">
        <w:r>
          <w:rPr>
            <w:color w:val="0000FF"/>
          </w:rPr>
          <w:t>пунктом 1</w:t>
        </w:r>
      </w:hyperlink>
      <w:r>
        <w:t xml:space="preserve"> настоящего Постановления, осуществляется за счет уменьшения нераспределенного резерва дотаций местным бюджетам на поддержку мер по обеспечению сбалансированности местных бюджетов, утвержденного постановлением Правительства Самарской области от 23.12.2021 N 1053 "Об утверждении Распределения на 2022 год годового объема дотаций местным бюджетам на поддержку мер по обеспечению сбалансированности местных бюджетов", на 95 548,5 тыс. рублей.</w:t>
      </w:r>
      <w:proofErr w:type="gramEnd"/>
    </w:p>
    <w:p w:rsidR="00184F9A" w:rsidRDefault="00184F9A">
      <w:pPr>
        <w:pStyle w:val="ConsPlusNormal"/>
        <w:spacing w:before="220"/>
        <w:ind w:firstLine="540"/>
        <w:jc w:val="both"/>
      </w:pPr>
      <w:r>
        <w:t>3. Опубликовать настоящее Постановление в средствах массовой информации и на официальном сайте Правительства Самарской области в сети Интернет.</w:t>
      </w:r>
    </w:p>
    <w:p w:rsidR="00184F9A" w:rsidRDefault="00184F9A">
      <w:pPr>
        <w:pStyle w:val="ConsPlusNormal"/>
        <w:spacing w:before="220"/>
        <w:ind w:firstLine="540"/>
        <w:jc w:val="both"/>
      </w:pPr>
      <w:r>
        <w:t>4. Настоящее Постановление вступает в силу со дня его официального опубликования.</w:t>
      </w:r>
    </w:p>
    <w:p w:rsidR="00184F9A" w:rsidRDefault="00184F9A">
      <w:pPr>
        <w:pStyle w:val="ConsPlusNormal"/>
        <w:jc w:val="both"/>
      </w:pPr>
    </w:p>
    <w:p w:rsidR="00184F9A" w:rsidRDefault="00184F9A">
      <w:pPr>
        <w:pStyle w:val="ConsPlusNormal"/>
        <w:jc w:val="right"/>
      </w:pPr>
      <w:r>
        <w:t>Первый вице-губернатор - председатель</w:t>
      </w:r>
    </w:p>
    <w:p w:rsidR="00184F9A" w:rsidRDefault="00184F9A">
      <w:pPr>
        <w:pStyle w:val="ConsPlusNormal"/>
        <w:jc w:val="right"/>
      </w:pPr>
      <w:r>
        <w:t>Правительства Самарской области</w:t>
      </w:r>
    </w:p>
    <w:p w:rsidR="00184F9A" w:rsidRDefault="00184F9A">
      <w:pPr>
        <w:pStyle w:val="ConsPlusNormal"/>
        <w:jc w:val="right"/>
      </w:pPr>
      <w:r>
        <w:t>В.В.КУДРЯШОВ</w:t>
      </w:r>
    </w:p>
    <w:p w:rsidR="00184F9A" w:rsidRDefault="00184F9A">
      <w:pPr>
        <w:pStyle w:val="ConsPlusNormal"/>
        <w:jc w:val="both"/>
      </w:pPr>
    </w:p>
    <w:p w:rsidR="00184F9A" w:rsidRDefault="00184F9A">
      <w:pPr>
        <w:pStyle w:val="ConsPlusNormal"/>
        <w:jc w:val="both"/>
      </w:pPr>
    </w:p>
    <w:p w:rsidR="00184F9A" w:rsidRDefault="00184F9A">
      <w:pPr>
        <w:pStyle w:val="ConsPlusNormal"/>
        <w:jc w:val="both"/>
      </w:pPr>
    </w:p>
    <w:p w:rsidR="00184F9A" w:rsidRDefault="00184F9A">
      <w:pPr>
        <w:pStyle w:val="ConsPlusNormal"/>
        <w:jc w:val="both"/>
      </w:pPr>
    </w:p>
    <w:p w:rsidR="00184F9A" w:rsidRDefault="00184F9A">
      <w:pPr>
        <w:pStyle w:val="ConsPlusNormal"/>
        <w:jc w:val="both"/>
      </w:pPr>
    </w:p>
    <w:p w:rsidR="00184F9A" w:rsidRDefault="00184F9A">
      <w:pPr>
        <w:pStyle w:val="ConsPlusNormal"/>
        <w:jc w:val="right"/>
        <w:outlineLvl w:val="0"/>
      </w:pPr>
      <w:r>
        <w:lastRenderedPageBreak/>
        <w:t>Утверждено</w:t>
      </w:r>
    </w:p>
    <w:p w:rsidR="00184F9A" w:rsidRDefault="00184F9A">
      <w:pPr>
        <w:pStyle w:val="ConsPlusNormal"/>
        <w:jc w:val="right"/>
      </w:pPr>
      <w:r>
        <w:t>Постановлением</w:t>
      </w:r>
    </w:p>
    <w:p w:rsidR="00184F9A" w:rsidRDefault="00184F9A">
      <w:pPr>
        <w:pStyle w:val="ConsPlusNormal"/>
        <w:jc w:val="right"/>
      </w:pPr>
      <w:r>
        <w:t>Правительства Самарской области</w:t>
      </w:r>
    </w:p>
    <w:p w:rsidR="00184F9A" w:rsidRDefault="00184F9A">
      <w:pPr>
        <w:pStyle w:val="ConsPlusNormal"/>
        <w:jc w:val="right"/>
      </w:pPr>
      <w:r>
        <w:t>от 6 декабря 2022 г. N 1086</w:t>
      </w:r>
    </w:p>
    <w:p w:rsidR="00184F9A" w:rsidRDefault="00184F9A">
      <w:pPr>
        <w:pStyle w:val="ConsPlusNormal"/>
        <w:jc w:val="both"/>
      </w:pPr>
    </w:p>
    <w:p w:rsidR="00184F9A" w:rsidRDefault="00184F9A">
      <w:pPr>
        <w:pStyle w:val="ConsPlusTitle"/>
        <w:jc w:val="center"/>
      </w:pPr>
      <w:bookmarkStart w:id="1" w:name="P36"/>
      <w:bookmarkEnd w:id="1"/>
      <w:r>
        <w:t>РАСПРЕДЕЛЕНИЕ</w:t>
      </w:r>
    </w:p>
    <w:p w:rsidR="00184F9A" w:rsidRDefault="00184F9A">
      <w:pPr>
        <w:pStyle w:val="ConsPlusTitle"/>
        <w:jc w:val="center"/>
      </w:pPr>
      <w:r>
        <w:t xml:space="preserve">В 2022 ГОДУ МЕЖДУ МУНИЦИПАЛЬНЫМИ ОБРАЗОВАНИЯМИ </w:t>
      </w:r>
      <w:proofErr w:type="gramStart"/>
      <w:r>
        <w:t>САМАРСКОЙ</w:t>
      </w:r>
      <w:proofErr w:type="gramEnd"/>
    </w:p>
    <w:p w:rsidR="00184F9A" w:rsidRDefault="00184F9A">
      <w:pPr>
        <w:pStyle w:val="ConsPlusTitle"/>
        <w:jc w:val="center"/>
      </w:pPr>
      <w:r>
        <w:t>ОБЛАСТИ РАЗМЕРА ПРЕВЫШЕНИЯ РАСЧЕТНОГО РАЗМЕРА ДОТАЦИЙ</w:t>
      </w:r>
    </w:p>
    <w:p w:rsidR="00184F9A" w:rsidRDefault="00184F9A">
      <w:pPr>
        <w:pStyle w:val="ConsPlusTitle"/>
        <w:jc w:val="center"/>
      </w:pPr>
      <w:r>
        <w:t>МЕСТНЫМ БЮДЖЕТАМ НА ПОДДЕРЖКУ МЕР ПО ОБЕСПЕЧЕНИЮ</w:t>
      </w:r>
    </w:p>
    <w:p w:rsidR="00184F9A" w:rsidRDefault="00184F9A">
      <w:pPr>
        <w:pStyle w:val="ConsPlusTitle"/>
        <w:jc w:val="center"/>
      </w:pPr>
      <w:r>
        <w:t>СБАЛАНСИРОВАННОСТИ МЕСТНЫХ БЮДЖЕТОВ ЗА 10 МЕСЯЦЕВ 2022 ГОДА</w:t>
      </w:r>
    </w:p>
    <w:p w:rsidR="00184F9A" w:rsidRDefault="00184F9A">
      <w:pPr>
        <w:pStyle w:val="ConsPlusTitle"/>
        <w:jc w:val="center"/>
      </w:pPr>
      <w:r>
        <w:t>НАД ГОДОВЫМ ОБЪЕМОМ, ПРЕДУСМОТРЕННЫМ ПОСТАНОВЛЕНИЕМ</w:t>
      </w:r>
    </w:p>
    <w:p w:rsidR="00184F9A" w:rsidRDefault="00184F9A">
      <w:pPr>
        <w:pStyle w:val="ConsPlusTitle"/>
        <w:jc w:val="center"/>
      </w:pPr>
      <w:r>
        <w:t>ПРАВИТЕЛЬСТВА САМАРСКОЙ ОБЛАСТИ ОТ 23.12.2021 N 1053 "</w:t>
      </w:r>
      <w:proofErr w:type="gramStart"/>
      <w:r>
        <w:t>ОБ</w:t>
      </w:r>
      <w:proofErr w:type="gramEnd"/>
    </w:p>
    <w:p w:rsidR="00184F9A" w:rsidRDefault="00184F9A">
      <w:pPr>
        <w:pStyle w:val="ConsPlusTitle"/>
        <w:jc w:val="center"/>
      </w:pPr>
      <w:proofErr w:type="gramStart"/>
      <w:r>
        <w:t>УТВЕРЖДЕНИИ</w:t>
      </w:r>
      <w:proofErr w:type="gramEnd"/>
      <w:r>
        <w:t xml:space="preserve"> РАСПРЕДЕЛЕНИЯ НА 2022 ГОД ГОДОВОГО ОБЪЕМА</w:t>
      </w:r>
    </w:p>
    <w:p w:rsidR="00184F9A" w:rsidRDefault="00184F9A">
      <w:pPr>
        <w:pStyle w:val="ConsPlusTitle"/>
        <w:jc w:val="center"/>
      </w:pPr>
      <w:r>
        <w:t>ДОТАЦИЙ МЕСТНЫМ БЮДЖЕТАМ НА ПОДДЕРЖКУ МЕР ПО ОБЕСПЕЧЕНИЮ</w:t>
      </w:r>
    </w:p>
    <w:p w:rsidR="00184F9A" w:rsidRDefault="00184F9A">
      <w:pPr>
        <w:pStyle w:val="ConsPlusTitle"/>
        <w:jc w:val="center"/>
      </w:pPr>
      <w:r>
        <w:t>СБАЛАНСИРОВАННОСТИ МЕСТНЫХ БЮДЖЕТОВ"</w:t>
      </w:r>
    </w:p>
    <w:p w:rsidR="00184F9A" w:rsidRDefault="00184F9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2268"/>
      </w:tblGrid>
      <w:tr w:rsidR="00184F9A">
        <w:tc>
          <w:tcPr>
            <w:tcW w:w="6803" w:type="dxa"/>
            <w:tcBorders>
              <w:top w:val="single" w:sz="4" w:space="0" w:color="auto"/>
              <w:bottom w:val="single" w:sz="4" w:space="0" w:color="auto"/>
            </w:tcBorders>
          </w:tcPr>
          <w:p w:rsidR="00184F9A" w:rsidRDefault="00184F9A">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184F9A" w:rsidRDefault="00184F9A">
            <w:pPr>
              <w:pStyle w:val="ConsPlusNormal"/>
              <w:jc w:val="center"/>
            </w:pPr>
            <w:r>
              <w:t>Объем дотации, тыс. рублей</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vAlign w:val="center"/>
          </w:tcPr>
          <w:p w:rsidR="00184F9A" w:rsidRDefault="00184F9A">
            <w:pPr>
              <w:pStyle w:val="ConsPlusNormal"/>
            </w:pPr>
            <w:r>
              <w:t>Городской округ Сызрань</w:t>
            </w:r>
          </w:p>
        </w:tc>
        <w:tc>
          <w:tcPr>
            <w:tcW w:w="2268" w:type="dxa"/>
            <w:tcBorders>
              <w:top w:val="single" w:sz="4" w:space="0" w:color="auto"/>
              <w:left w:val="nil"/>
              <w:bottom w:val="nil"/>
              <w:right w:val="nil"/>
            </w:tcBorders>
            <w:vAlign w:val="center"/>
          </w:tcPr>
          <w:p w:rsidR="00184F9A" w:rsidRDefault="00184F9A">
            <w:pPr>
              <w:pStyle w:val="ConsPlusNormal"/>
              <w:jc w:val="center"/>
            </w:pPr>
            <w:r>
              <w:t>14 948,9</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Городской округ Отрадный</w:t>
            </w:r>
          </w:p>
        </w:tc>
        <w:tc>
          <w:tcPr>
            <w:tcW w:w="2268" w:type="dxa"/>
            <w:tcBorders>
              <w:top w:val="nil"/>
              <w:left w:val="nil"/>
              <w:bottom w:val="nil"/>
              <w:right w:val="nil"/>
            </w:tcBorders>
            <w:vAlign w:val="center"/>
          </w:tcPr>
          <w:p w:rsidR="00184F9A" w:rsidRDefault="00184F9A">
            <w:pPr>
              <w:pStyle w:val="ConsPlusNormal"/>
              <w:jc w:val="center"/>
            </w:pPr>
            <w:r>
              <w:t>2 242,1</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Городской округ Жигулевск</w:t>
            </w:r>
          </w:p>
        </w:tc>
        <w:tc>
          <w:tcPr>
            <w:tcW w:w="2268" w:type="dxa"/>
            <w:tcBorders>
              <w:top w:val="nil"/>
              <w:left w:val="nil"/>
              <w:bottom w:val="nil"/>
              <w:right w:val="nil"/>
            </w:tcBorders>
            <w:vAlign w:val="center"/>
          </w:tcPr>
          <w:p w:rsidR="00184F9A" w:rsidRDefault="00184F9A">
            <w:pPr>
              <w:pStyle w:val="ConsPlusNormal"/>
              <w:jc w:val="center"/>
            </w:pPr>
            <w:r>
              <w:t>1 295,8</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Городской округ Октябрьск</w:t>
            </w:r>
          </w:p>
        </w:tc>
        <w:tc>
          <w:tcPr>
            <w:tcW w:w="2268" w:type="dxa"/>
            <w:tcBorders>
              <w:top w:val="nil"/>
              <w:left w:val="nil"/>
              <w:bottom w:val="nil"/>
              <w:right w:val="nil"/>
            </w:tcBorders>
            <w:vAlign w:val="center"/>
          </w:tcPr>
          <w:p w:rsidR="00184F9A" w:rsidRDefault="00184F9A">
            <w:pPr>
              <w:pStyle w:val="ConsPlusNormal"/>
              <w:jc w:val="center"/>
            </w:pPr>
            <w:r>
              <w:t>2 699,8</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Городской округ Кинель</w:t>
            </w:r>
          </w:p>
        </w:tc>
        <w:tc>
          <w:tcPr>
            <w:tcW w:w="2268" w:type="dxa"/>
            <w:tcBorders>
              <w:top w:val="nil"/>
              <w:left w:val="nil"/>
              <w:bottom w:val="nil"/>
              <w:right w:val="nil"/>
            </w:tcBorders>
            <w:vAlign w:val="center"/>
          </w:tcPr>
          <w:p w:rsidR="00184F9A" w:rsidRDefault="00184F9A">
            <w:pPr>
              <w:pStyle w:val="ConsPlusNormal"/>
              <w:jc w:val="center"/>
            </w:pPr>
            <w:r>
              <w:t>5 176,1</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Городской округ Похвистнево</w:t>
            </w:r>
          </w:p>
        </w:tc>
        <w:tc>
          <w:tcPr>
            <w:tcW w:w="2268" w:type="dxa"/>
            <w:tcBorders>
              <w:top w:val="nil"/>
              <w:left w:val="nil"/>
              <w:bottom w:val="nil"/>
              <w:right w:val="nil"/>
            </w:tcBorders>
            <w:vAlign w:val="center"/>
          </w:tcPr>
          <w:p w:rsidR="00184F9A" w:rsidRDefault="00184F9A">
            <w:pPr>
              <w:pStyle w:val="ConsPlusNormal"/>
              <w:jc w:val="center"/>
            </w:pPr>
            <w:r>
              <w:t>3 667,8</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Алексеевский</w:t>
            </w:r>
          </w:p>
        </w:tc>
        <w:tc>
          <w:tcPr>
            <w:tcW w:w="2268" w:type="dxa"/>
            <w:tcBorders>
              <w:top w:val="nil"/>
              <w:left w:val="nil"/>
              <w:bottom w:val="nil"/>
              <w:right w:val="nil"/>
            </w:tcBorders>
            <w:vAlign w:val="center"/>
          </w:tcPr>
          <w:p w:rsidR="00184F9A" w:rsidRDefault="00184F9A">
            <w:pPr>
              <w:pStyle w:val="ConsPlusNormal"/>
              <w:jc w:val="center"/>
            </w:pPr>
            <w:r>
              <w:t>342,1</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Безенчукский</w:t>
            </w:r>
          </w:p>
        </w:tc>
        <w:tc>
          <w:tcPr>
            <w:tcW w:w="2268" w:type="dxa"/>
            <w:tcBorders>
              <w:top w:val="nil"/>
              <w:left w:val="nil"/>
              <w:bottom w:val="nil"/>
              <w:right w:val="nil"/>
            </w:tcBorders>
            <w:vAlign w:val="center"/>
          </w:tcPr>
          <w:p w:rsidR="00184F9A" w:rsidRDefault="00184F9A">
            <w:pPr>
              <w:pStyle w:val="ConsPlusNormal"/>
              <w:jc w:val="center"/>
            </w:pPr>
            <w:r>
              <w:t>3 312,2</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Богатовский</w:t>
            </w:r>
          </w:p>
        </w:tc>
        <w:tc>
          <w:tcPr>
            <w:tcW w:w="2268" w:type="dxa"/>
            <w:tcBorders>
              <w:top w:val="nil"/>
              <w:left w:val="nil"/>
              <w:bottom w:val="nil"/>
              <w:right w:val="nil"/>
            </w:tcBorders>
            <w:vAlign w:val="center"/>
          </w:tcPr>
          <w:p w:rsidR="00184F9A" w:rsidRDefault="00184F9A">
            <w:pPr>
              <w:pStyle w:val="ConsPlusNormal"/>
              <w:jc w:val="center"/>
            </w:pPr>
            <w:r>
              <w:t>3 667,8</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Большеглушицкий</w:t>
            </w:r>
          </w:p>
        </w:tc>
        <w:tc>
          <w:tcPr>
            <w:tcW w:w="2268" w:type="dxa"/>
            <w:tcBorders>
              <w:top w:val="nil"/>
              <w:left w:val="nil"/>
              <w:bottom w:val="nil"/>
              <w:right w:val="nil"/>
            </w:tcBorders>
            <w:vAlign w:val="center"/>
          </w:tcPr>
          <w:p w:rsidR="00184F9A" w:rsidRDefault="00184F9A">
            <w:pPr>
              <w:pStyle w:val="ConsPlusNormal"/>
              <w:jc w:val="center"/>
            </w:pPr>
            <w:r>
              <w:t>4 183,5</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Борский</w:t>
            </w:r>
          </w:p>
        </w:tc>
        <w:tc>
          <w:tcPr>
            <w:tcW w:w="2268" w:type="dxa"/>
            <w:tcBorders>
              <w:top w:val="nil"/>
              <w:left w:val="nil"/>
              <w:bottom w:val="nil"/>
              <w:right w:val="nil"/>
            </w:tcBorders>
            <w:vAlign w:val="center"/>
          </w:tcPr>
          <w:p w:rsidR="00184F9A" w:rsidRDefault="00184F9A">
            <w:pPr>
              <w:pStyle w:val="ConsPlusNormal"/>
              <w:jc w:val="center"/>
            </w:pPr>
            <w:r>
              <w:t>6 768,2</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Волжский</w:t>
            </w:r>
          </w:p>
        </w:tc>
        <w:tc>
          <w:tcPr>
            <w:tcW w:w="2268" w:type="dxa"/>
            <w:tcBorders>
              <w:top w:val="nil"/>
              <w:left w:val="nil"/>
              <w:bottom w:val="nil"/>
              <w:right w:val="nil"/>
            </w:tcBorders>
            <w:vAlign w:val="center"/>
          </w:tcPr>
          <w:p w:rsidR="00184F9A" w:rsidRDefault="00184F9A">
            <w:pPr>
              <w:pStyle w:val="ConsPlusNormal"/>
              <w:jc w:val="center"/>
            </w:pPr>
            <w:r>
              <w:t>10 024,2</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Елховский</w:t>
            </w:r>
          </w:p>
        </w:tc>
        <w:tc>
          <w:tcPr>
            <w:tcW w:w="2268" w:type="dxa"/>
            <w:tcBorders>
              <w:top w:val="nil"/>
              <w:left w:val="nil"/>
              <w:bottom w:val="nil"/>
              <w:right w:val="nil"/>
            </w:tcBorders>
            <w:vAlign w:val="center"/>
          </w:tcPr>
          <w:p w:rsidR="00184F9A" w:rsidRDefault="00184F9A">
            <w:pPr>
              <w:pStyle w:val="ConsPlusNormal"/>
              <w:jc w:val="center"/>
            </w:pPr>
            <w:r>
              <w:t>2 419,3</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Исаклинский</w:t>
            </w:r>
          </w:p>
        </w:tc>
        <w:tc>
          <w:tcPr>
            <w:tcW w:w="2268" w:type="dxa"/>
            <w:tcBorders>
              <w:top w:val="nil"/>
              <w:left w:val="nil"/>
              <w:bottom w:val="nil"/>
              <w:right w:val="nil"/>
            </w:tcBorders>
            <w:vAlign w:val="center"/>
          </w:tcPr>
          <w:p w:rsidR="00184F9A" w:rsidRDefault="00184F9A">
            <w:pPr>
              <w:pStyle w:val="ConsPlusNormal"/>
              <w:jc w:val="center"/>
            </w:pPr>
            <w:r>
              <w:t>5 668,0</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Камышлинский</w:t>
            </w:r>
          </w:p>
        </w:tc>
        <w:tc>
          <w:tcPr>
            <w:tcW w:w="2268" w:type="dxa"/>
            <w:tcBorders>
              <w:top w:val="nil"/>
              <w:left w:val="nil"/>
              <w:bottom w:val="nil"/>
              <w:right w:val="nil"/>
            </w:tcBorders>
            <w:vAlign w:val="center"/>
          </w:tcPr>
          <w:p w:rsidR="00184F9A" w:rsidRDefault="00184F9A">
            <w:pPr>
              <w:pStyle w:val="ConsPlusNormal"/>
              <w:jc w:val="center"/>
            </w:pPr>
            <w:r>
              <w:t>3 157,9</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Кинель-Черкасский</w:t>
            </w:r>
          </w:p>
        </w:tc>
        <w:tc>
          <w:tcPr>
            <w:tcW w:w="2268" w:type="dxa"/>
            <w:tcBorders>
              <w:top w:val="nil"/>
              <w:left w:val="nil"/>
              <w:bottom w:val="nil"/>
              <w:right w:val="nil"/>
            </w:tcBorders>
            <w:vAlign w:val="center"/>
          </w:tcPr>
          <w:p w:rsidR="00184F9A" w:rsidRDefault="00184F9A">
            <w:pPr>
              <w:pStyle w:val="ConsPlusNormal"/>
              <w:jc w:val="center"/>
            </w:pPr>
            <w:r>
              <w:t>828,4</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Клявлинский</w:t>
            </w:r>
          </w:p>
        </w:tc>
        <w:tc>
          <w:tcPr>
            <w:tcW w:w="2268" w:type="dxa"/>
            <w:tcBorders>
              <w:top w:val="nil"/>
              <w:left w:val="nil"/>
              <w:bottom w:val="nil"/>
              <w:right w:val="nil"/>
            </w:tcBorders>
            <w:vAlign w:val="center"/>
          </w:tcPr>
          <w:p w:rsidR="00184F9A" w:rsidRDefault="00184F9A">
            <w:pPr>
              <w:pStyle w:val="ConsPlusNormal"/>
              <w:jc w:val="center"/>
            </w:pPr>
            <w:r>
              <w:t>687,0</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Кошкинский</w:t>
            </w:r>
          </w:p>
        </w:tc>
        <w:tc>
          <w:tcPr>
            <w:tcW w:w="2268" w:type="dxa"/>
            <w:tcBorders>
              <w:top w:val="nil"/>
              <w:left w:val="nil"/>
              <w:bottom w:val="nil"/>
              <w:right w:val="nil"/>
            </w:tcBorders>
            <w:vAlign w:val="center"/>
          </w:tcPr>
          <w:p w:rsidR="00184F9A" w:rsidRDefault="00184F9A">
            <w:pPr>
              <w:pStyle w:val="ConsPlusNormal"/>
              <w:jc w:val="center"/>
            </w:pPr>
            <w:r>
              <w:t>323,8</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Похвистневский</w:t>
            </w:r>
          </w:p>
        </w:tc>
        <w:tc>
          <w:tcPr>
            <w:tcW w:w="2268" w:type="dxa"/>
            <w:tcBorders>
              <w:top w:val="nil"/>
              <w:left w:val="nil"/>
              <w:bottom w:val="nil"/>
              <w:right w:val="nil"/>
            </w:tcBorders>
            <w:vAlign w:val="center"/>
          </w:tcPr>
          <w:p w:rsidR="00184F9A" w:rsidRDefault="00184F9A">
            <w:pPr>
              <w:pStyle w:val="ConsPlusNormal"/>
              <w:jc w:val="center"/>
            </w:pPr>
            <w:r>
              <w:t>4 851,3</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Сергиевский</w:t>
            </w:r>
          </w:p>
        </w:tc>
        <w:tc>
          <w:tcPr>
            <w:tcW w:w="2268" w:type="dxa"/>
            <w:tcBorders>
              <w:top w:val="nil"/>
              <w:left w:val="nil"/>
              <w:bottom w:val="nil"/>
              <w:right w:val="nil"/>
            </w:tcBorders>
            <w:vAlign w:val="center"/>
          </w:tcPr>
          <w:p w:rsidR="00184F9A" w:rsidRDefault="00184F9A">
            <w:pPr>
              <w:pStyle w:val="ConsPlusNormal"/>
              <w:jc w:val="center"/>
            </w:pPr>
            <w:r>
              <w:t>6 718,6</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lastRenderedPageBreak/>
              <w:t>Муниципальный район Сызранский</w:t>
            </w:r>
          </w:p>
        </w:tc>
        <w:tc>
          <w:tcPr>
            <w:tcW w:w="2268" w:type="dxa"/>
            <w:tcBorders>
              <w:top w:val="nil"/>
              <w:left w:val="nil"/>
              <w:bottom w:val="nil"/>
              <w:right w:val="nil"/>
            </w:tcBorders>
            <w:vAlign w:val="center"/>
          </w:tcPr>
          <w:p w:rsidR="00184F9A" w:rsidRDefault="00184F9A">
            <w:pPr>
              <w:pStyle w:val="ConsPlusNormal"/>
              <w:jc w:val="center"/>
            </w:pPr>
            <w:r>
              <w:t>6 114,3</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Хворостянский</w:t>
            </w:r>
          </w:p>
        </w:tc>
        <w:tc>
          <w:tcPr>
            <w:tcW w:w="2268" w:type="dxa"/>
            <w:tcBorders>
              <w:top w:val="nil"/>
              <w:left w:val="nil"/>
              <w:bottom w:val="nil"/>
              <w:right w:val="nil"/>
            </w:tcBorders>
            <w:vAlign w:val="center"/>
          </w:tcPr>
          <w:p w:rsidR="00184F9A" w:rsidRDefault="00184F9A">
            <w:pPr>
              <w:pStyle w:val="ConsPlusNormal"/>
              <w:jc w:val="center"/>
            </w:pPr>
            <w:r>
              <w:t>1 734,8</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184F9A" w:rsidRDefault="00184F9A">
            <w:pPr>
              <w:pStyle w:val="ConsPlusNormal"/>
            </w:pPr>
            <w:r>
              <w:t>Муниципальный район Челно-Вершинский</w:t>
            </w:r>
          </w:p>
        </w:tc>
        <w:tc>
          <w:tcPr>
            <w:tcW w:w="2268" w:type="dxa"/>
            <w:tcBorders>
              <w:top w:val="nil"/>
              <w:left w:val="nil"/>
              <w:bottom w:val="nil"/>
              <w:right w:val="nil"/>
            </w:tcBorders>
            <w:vAlign w:val="center"/>
          </w:tcPr>
          <w:p w:rsidR="00184F9A" w:rsidRDefault="00184F9A">
            <w:pPr>
              <w:pStyle w:val="ConsPlusNormal"/>
              <w:jc w:val="center"/>
            </w:pPr>
            <w:r>
              <w:t>4 716,6</w:t>
            </w:r>
          </w:p>
        </w:tc>
      </w:tr>
      <w:tr w:rsidR="00184F9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184F9A" w:rsidRDefault="00184F9A">
            <w:pPr>
              <w:pStyle w:val="ConsPlusNormal"/>
            </w:pPr>
            <w:r>
              <w:t>ИТОГО</w:t>
            </w:r>
          </w:p>
        </w:tc>
        <w:tc>
          <w:tcPr>
            <w:tcW w:w="2268" w:type="dxa"/>
            <w:tcBorders>
              <w:top w:val="nil"/>
              <w:left w:val="nil"/>
              <w:bottom w:val="nil"/>
              <w:right w:val="nil"/>
            </w:tcBorders>
          </w:tcPr>
          <w:p w:rsidR="00184F9A" w:rsidRDefault="00184F9A">
            <w:pPr>
              <w:pStyle w:val="ConsPlusNormal"/>
              <w:jc w:val="center"/>
            </w:pPr>
            <w:r>
              <w:t>95 548,5</w:t>
            </w:r>
          </w:p>
        </w:tc>
      </w:tr>
    </w:tbl>
    <w:p w:rsidR="00184F9A" w:rsidRDefault="00184F9A">
      <w:pPr>
        <w:pStyle w:val="ConsPlusNormal"/>
        <w:jc w:val="both"/>
      </w:pPr>
    </w:p>
    <w:p w:rsidR="00184F9A" w:rsidRDefault="00184F9A">
      <w:pPr>
        <w:pStyle w:val="ConsPlusNormal"/>
        <w:jc w:val="both"/>
      </w:pPr>
    </w:p>
    <w:p w:rsidR="00184F9A" w:rsidRDefault="00184F9A">
      <w:pPr>
        <w:pStyle w:val="ConsPlusNormal"/>
        <w:pBdr>
          <w:bottom w:val="single" w:sz="6" w:space="0" w:color="auto"/>
        </w:pBdr>
        <w:spacing w:before="100" w:after="100"/>
        <w:jc w:val="both"/>
        <w:rPr>
          <w:sz w:val="2"/>
          <w:szCs w:val="2"/>
        </w:rPr>
      </w:pPr>
    </w:p>
    <w:p w:rsidR="0055420B" w:rsidRDefault="0055420B"/>
    <w:sectPr w:rsidR="0055420B" w:rsidSect="003F6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184F9A"/>
    <w:rsid w:val="00095E64"/>
    <w:rsid w:val="00184F9A"/>
    <w:rsid w:val="0055420B"/>
    <w:rsid w:val="0084782E"/>
    <w:rsid w:val="00A70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4F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4F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780075011A41A7DF0EBC28B385E169AEF907499E50F4CC83B6D23BA92D36F3B7EB10945FEBDAD3B224A739AE27FEECC41484FK"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3658</Characters>
  <Application>Microsoft Office Word</Application>
  <DocSecurity>0</DocSecurity>
  <Lines>30</Lines>
  <Paragraphs>8</Paragraphs>
  <ScaleCrop>false</ScaleCrop>
  <Company>Reanimator Extreme Edition</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2023-04-27T10:56:00Z</dcterms:created>
  <dcterms:modified xsi:type="dcterms:W3CDTF">2023-04-27T10:57:00Z</dcterms:modified>
</cp:coreProperties>
</file>