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25" w:rsidRDefault="00587A2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87A25" w:rsidRDefault="00587A25">
      <w:pPr>
        <w:pStyle w:val="ConsPlusNormal"/>
        <w:jc w:val="both"/>
        <w:outlineLvl w:val="0"/>
      </w:pPr>
    </w:p>
    <w:p w:rsidR="00587A25" w:rsidRDefault="00587A25">
      <w:pPr>
        <w:pStyle w:val="ConsPlusTitle"/>
        <w:jc w:val="center"/>
      </w:pPr>
      <w:r>
        <w:t>ПРАВИТЕЛЬСТВО САМАРСКОЙ ОБЛАСТИ</w:t>
      </w:r>
    </w:p>
    <w:p w:rsidR="00587A25" w:rsidRDefault="00587A25">
      <w:pPr>
        <w:pStyle w:val="ConsPlusTitle"/>
        <w:jc w:val="center"/>
      </w:pPr>
    </w:p>
    <w:p w:rsidR="00587A25" w:rsidRDefault="00587A25">
      <w:pPr>
        <w:pStyle w:val="ConsPlusTitle"/>
        <w:jc w:val="center"/>
      </w:pPr>
      <w:r>
        <w:t>ПОСТАНОВЛЕНИЕ</w:t>
      </w:r>
    </w:p>
    <w:p w:rsidR="00587A25" w:rsidRDefault="00587A25">
      <w:pPr>
        <w:pStyle w:val="ConsPlusTitle"/>
        <w:jc w:val="center"/>
      </w:pPr>
      <w:r>
        <w:t>от 19 декабря 2022 г. N 1169</w:t>
      </w:r>
    </w:p>
    <w:p w:rsidR="00587A25" w:rsidRDefault="00587A25">
      <w:pPr>
        <w:pStyle w:val="ConsPlusTitle"/>
        <w:jc w:val="center"/>
      </w:pPr>
    </w:p>
    <w:p w:rsidR="00587A25" w:rsidRDefault="00587A25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587A25" w:rsidRDefault="00587A25">
      <w:pPr>
        <w:pStyle w:val="ConsPlusTitle"/>
        <w:jc w:val="center"/>
      </w:pPr>
      <w:r>
        <w:t>ОБЛАСТИ ОТ 14.11.2013 N 623 "ОБ УТВЕРЖДЕНИИ ГОСУДАРСТВЕННОЙ</w:t>
      </w:r>
    </w:p>
    <w:p w:rsidR="00587A25" w:rsidRDefault="00587A25">
      <w:pPr>
        <w:pStyle w:val="ConsPlusTitle"/>
        <w:jc w:val="center"/>
      </w:pPr>
      <w:r>
        <w:t xml:space="preserve">ПРОГРАММЫ САМАРСКОЙ ОБЛАСТИ "УПРАВЛЕНИЕ </w:t>
      </w:r>
      <w:proofErr w:type="gramStart"/>
      <w:r>
        <w:t>ГОСУДАРСТВЕННЫМИ</w:t>
      </w:r>
      <w:proofErr w:type="gramEnd"/>
    </w:p>
    <w:p w:rsidR="00587A25" w:rsidRDefault="00587A25">
      <w:pPr>
        <w:pStyle w:val="ConsPlusTitle"/>
        <w:jc w:val="center"/>
      </w:pPr>
      <w:r>
        <w:t>ФИНАНСАМИ И РАЗВИТИЕ МЕЖБЮДЖЕТНЫХ ОТНОШЕНИЙ"</w:t>
      </w:r>
    </w:p>
    <w:p w:rsidR="00587A25" w:rsidRDefault="00587A25">
      <w:pPr>
        <w:pStyle w:val="ConsPlusTitle"/>
        <w:jc w:val="center"/>
      </w:pPr>
      <w:r>
        <w:t>НА 2014 - 2024 ГОДЫ"</w:t>
      </w:r>
    </w:p>
    <w:p w:rsidR="00587A25" w:rsidRDefault="00587A25">
      <w:pPr>
        <w:pStyle w:val="ConsPlusNormal"/>
        <w:jc w:val="both"/>
      </w:pPr>
    </w:p>
    <w:p w:rsidR="00587A25" w:rsidRDefault="00587A25">
      <w:pPr>
        <w:pStyle w:val="ConsPlusNormal"/>
        <w:ind w:firstLine="540"/>
        <w:jc w:val="both"/>
      </w:pPr>
      <w:proofErr w:type="gramStart"/>
      <w:r>
        <w:t xml:space="preserve">В соответствии с распоряжением Правительства Самарской области от 28.11.2022 N 643-р "Об использовании средств резервного фонда Правительства Самарской области" в целях уточнения объема финансирования мероприятия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Самарской области "Управление государственными финансами и развитие межбюджетных отношений" на 2014 - 2024 годы, утвержденной постановлением Правительства Самарской области от 14.11.2013 N 623, Правительство Самарской области постановляет:</w:t>
      </w:r>
      <w:proofErr w:type="gramEnd"/>
    </w:p>
    <w:p w:rsidR="00587A25" w:rsidRDefault="00587A2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14.11.2013 N 623 "Об утверждении государственной программы Самарской области "Управление государственными финансами и развитие межбюджетных отношений" на 2014 - 2024 годы" следующие изменения:</w:t>
      </w:r>
    </w:p>
    <w:p w:rsidR="00587A25" w:rsidRDefault="00587A25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7">
        <w:r>
          <w:rPr>
            <w:color w:val="0000FF"/>
          </w:rPr>
          <w:t>программе</w:t>
        </w:r>
      </w:hyperlink>
      <w:r>
        <w:t xml:space="preserve"> Самарской области "Управление государственными финансами и развитие межбюджетных отношений" на 2014 - 2024 годы (далее - Государственная программа):</w:t>
      </w:r>
    </w:p>
    <w:p w:rsidR="00587A25" w:rsidRDefault="00587A25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раздел</w:t>
        </w:r>
      </w:hyperlink>
      <w:r>
        <w:t xml:space="preserve"> "Объемы бюджетных ассигнований Государственной программы" паспорта Государственной программы изложить в следующей редакции:</w:t>
      </w:r>
    </w:p>
    <w:p w:rsidR="00587A25" w:rsidRDefault="00587A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60"/>
        <w:gridCol w:w="5272"/>
      </w:tblGrid>
      <w:tr w:rsidR="00587A2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7A25" w:rsidRDefault="00587A25">
            <w:pPr>
              <w:pStyle w:val="ConsPlusNormal"/>
            </w:pPr>
            <w:r>
              <w:t>"ОБЪЕМЫ БЮДЖЕТНЫХ АССИГНОВАНИЙ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A25" w:rsidRDefault="00587A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87A25" w:rsidRDefault="00587A25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109 988,2 млн. рублей,</w:t>
            </w:r>
          </w:p>
          <w:p w:rsidR="00587A25" w:rsidRDefault="00587A25">
            <w:pPr>
              <w:pStyle w:val="ConsPlusNormal"/>
              <w:jc w:val="both"/>
            </w:pPr>
            <w:r>
              <w:t>в том числе:</w:t>
            </w:r>
          </w:p>
          <w:p w:rsidR="00587A25" w:rsidRDefault="00587A25">
            <w:pPr>
              <w:pStyle w:val="ConsPlusNormal"/>
              <w:jc w:val="both"/>
            </w:pPr>
            <w:r>
              <w:t>в 2014 году - 10 584,8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2015 году - 11 191,1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2016 году - 11 297,5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2017 году - 10 015,2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2018 году - 10 020,2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2019 году - 9 457,7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2020 году - 10 207,0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2021 году - 10 444,1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2022 году - 10 036,9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2023 году - 10 455,1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2024 году - 6 278,8 млн. рублей";</w:t>
            </w:r>
          </w:p>
        </w:tc>
      </w:tr>
    </w:tbl>
    <w:p w:rsidR="00587A25" w:rsidRDefault="00587A25">
      <w:pPr>
        <w:pStyle w:val="ConsPlusNormal"/>
        <w:jc w:val="both"/>
      </w:pPr>
    </w:p>
    <w:p w:rsidR="00587A25" w:rsidRDefault="00587A25">
      <w:pPr>
        <w:pStyle w:val="ConsPlusNormal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подпрограмме</w:t>
        </w:r>
      </w:hyperlink>
      <w:r>
        <w:t xml:space="preserve"> "Организация планирования и исполнения областного бюджета" на 2014 - 2024 годы (далее - Подпрограмма):</w:t>
      </w:r>
    </w:p>
    <w:p w:rsidR="00587A25" w:rsidRDefault="00587A25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раздел</w:t>
        </w:r>
      </w:hyperlink>
      <w:r>
        <w:t xml:space="preserve"> "Объемы бюджетных ассигнований подпрограммы 4" паспорта Подпрограммы изложить в следующей редакции:</w:t>
      </w:r>
    </w:p>
    <w:p w:rsidR="00587A25" w:rsidRDefault="00587A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60"/>
        <w:gridCol w:w="5272"/>
      </w:tblGrid>
      <w:tr w:rsidR="00587A2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7A25" w:rsidRDefault="00587A25">
            <w:pPr>
              <w:pStyle w:val="ConsPlusNormal"/>
            </w:pPr>
            <w:r>
              <w:lastRenderedPageBreak/>
              <w:t>"ОБЪЕМЫ БЮДЖЕТНЫХ АССИГНОВАНИЙ ПОДПРОГРАММЫ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A25" w:rsidRDefault="00587A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87A25" w:rsidRDefault="00587A25">
            <w:pPr>
              <w:pStyle w:val="ConsPlusNormal"/>
              <w:jc w:val="both"/>
            </w:pPr>
            <w:r>
              <w:t>общий объем финансирования подпрограммы 4 составляет 5 971,9 млн. рублей, в том числе:</w:t>
            </w:r>
          </w:p>
          <w:p w:rsidR="00587A25" w:rsidRDefault="00587A25">
            <w:pPr>
              <w:pStyle w:val="ConsPlusNormal"/>
              <w:jc w:val="both"/>
            </w:pPr>
            <w:r>
              <w:t>в 2014 году - 349,9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2015 году - 299,9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2016 году - 310,5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2017 году - 301,8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2018 году - 338,9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2019 году - 518,2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2020 году - 574,8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2021 году - 761,9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2022 году - 857,1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2023 году - 829,3 млн. рублей;</w:t>
            </w:r>
          </w:p>
          <w:p w:rsidR="00587A25" w:rsidRDefault="00587A25">
            <w:pPr>
              <w:pStyle w:val="ConsPlusNormal"/>
              <w:jc w:val="both"/>
            </w:pPr>
            <w:r>
              <w:t>в 2024 году - 829,7 млн. рублей";</w:t>
            </w:r>
          </w:p>
        </w:tc>
      </w:tr>
    </w:tbl>
    <w:p w:rsidR="00587A25" w:rsidRDefault="00587A25">
      <w:pPr>
        <w:pStyle w:val="ConsPlusNormal"/>
        <w:jc w:val="both"/>
      </w:pPr>
    </w:p>
    <w:p w:rsidR="00587A25" w:rsidRDefault="00587A25">
      <w:pPr>
        <w:pStyle w:val="ConsPlusNormal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приложении 2</w:t>
        </w:r>
      </w:hyperlink>
      <w:r>
        <w:t xml:space="preserve"> к Государственной программе:</w:t>
      </w:r>
    </w:p>
    <w:p w:rsidR="00587A25" w:rsidRDefault="00587A25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разделе</w:t>
        </w:r>
      </w:hyperlink>
      <w:r>
        <w:t xml:space="preserve"> "Подпрограмма "Организация планирования и исполнения областного бюджета" на 2014 - 2024 годы":</w:t>
      </w:r>
    </w:p>
    <w:p w:rsidR="00587A25" w:rsidRDefault="00587A25">
      <w:pPr>
        <w:pStyle w:val="ConsPlusNormal"/>
        <w:spacing w:before="220"/>
        <w:ind w:firstLine="540"/>
        <w:jc w:val="both"/>
      </w:pPr>
      <w:r>
        <w:t xml:space="preserve">в пункте 1 в </w:t>
      </w:r>
      <w:hyperlink r:id="rId13">
        <w:r>
          <w:rPr>
            <w:color w:val="0000FF"/>
          </w:rPr>
          <w:t>графе</w:t>
        </w:r>
      </w:hyperlink>
      <w:r>
        <w:t xml:space="preserve"> "2022" сумму "455,9" заменить суммой "458,8", в </w:t>
      </w:r>
      <w:hyperlink r:id="rId14">
        <w:r>
          <w:rPr>
            <w:color w:val="0000FF"/>
          </w:rPr>
          <w:t>графе</w:t>
        </w:r>
      </w:hyperlink>
      <w:r>
        <w:t xml:space="preserve"> "всего" сумму "4 158,1" заменить суммой "4 161,0";</w:t>
      </w:r>
    </w:p>
    <w:p w:rsidR="00587A25" w:rsidRDefault="00587A25">
      <w:pPr>
        <w:pStyle w:val="ConsPlusNormal"/>
        <w:spacing w:before="220"/>
        <w:ind w:firstLine="540"/>
        <w:jc w:val="both"/>
      </w:pPr>
      <w:r>
        <w:t xml:space="preserve">в строке "Итого по подпрограмме" в </w:t>
      </w:r>
      <w:hyperlink r:id="rId15">
        <w:r>
          <w:rPr>
            <w:color w:val="0000FF"/>
          </w:rPr>
          <w:t>графе</w:t>
        </w:r>
      </w:hyperlink>
      <w:r>
        <w:t xml:space="preserve"> "2022" сумму "854,2" заменить суммой "857,1", в </w:t>
      </w:r>
      <w:hyperlink r:id="rId16">
        <w:r>
          <w:rPr>
            <w:color w:val="0000FF"/>
          </w:rPr>
          <w:t>графе</w:t>
        </w:r>
      </w:hyperlink>
      <w:r>
        <w:t xml:space="preserve"> "всего" сумму "5 969,0" заменить суммой "5 971,9";</w:t>
      </w:r>
    </w:p>
    <w:p w:rsidR="00587A25" w:rsidRDefault="00587A25">
      <w:pPr>
        <w:pStyle w:val="ConsPlusNormal"/>
        <w:spacing w:before="220"/>
        <w:ind w:firstLine="540"/>
        <w:jc w:val="both"/>
      </w:pPr>
      <w:r>
        <w:t xml:space="preserve">и строке "ВСЕГО" в </w:t>
      </w:r>
      <w:hyperlink r:id="rId17">
        <w:r>
          <w:rPr>
            <w:color w:val="0000FF"/>
          </w:rPr>
          <w:t>графе</w:t>
        </w:r>
      </w:hyperlink>
      <w:r>
        <w:t xml:space="preserve"> "2022" сумму "10 034,0" заменить суммой "10 036,9", в </w:t>
      </w:r>
      <w:hyperlink r:id="rId18">
        <w:r>
          <w:rPr>
            <w:color w:val="0000FF"/>
          </w:rPr>
          <w:t>графе</w:t>
        </w:r>
      </w:hyperlink>
      <w:r>
        <w:t xml:space="preserve"> "всего" сумму "109 985,3" заменить суммой "109 988,2".</w:t>
      </w:r>
    </w:p>
    <w:p w:rsidR="00587A25" w:rsidRDefault="00587A25">
      <w:pPr>
        <w:pStyle w:val="ConsPlusNormal"/>
        <w:spacing w:before="220"/>
        <w:ind w:firstLine="540"/>
        <w:jc w:val="both"/>
      </w:pPr>
      <w:r>
        <w:t>2. Установить, что увеличение объема финансирования отдельного действующего расходного обязательства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год.</w:t>
      </w:r>
    </w:p>
    <w:p w:rsidR="00587A25" w:rsidRDefault="00587A25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587A25" w:rsidRDefault="00587A2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87A25" w:rsidRDefault="00587A25">
      <w:pPr>
        <w:pStyle w:val="ConsPlusNormal"/>
        <w:jc w:val="both"/>
      </w:pPr>
    </w:p>
    <w:p w:rsidR="00587A25" w:rsidRDefault="00587A25">
      <w:pPr>
        <w:pStyle w:val="ConsPlusNormal"/>
        <w:jc w:val="right"/>
      </w:pPr>
      <w:r>
        <w:t>Первый вице-губернатор - председатель</w:t>
      </w:r>
    </w:p>
    <w:p w:rsidR="00587A25" w:rsidRDefault="00587A25">
      <w:pPr>
        <w:pStyle w:val="ConsPlusNormal"/>
        <w:jc w:val="right"/>
      </w:pPr>
      <w:r>
        <w:t>Правительства Самарской области</w:t>
      </w:r>
    </w:p>
    <w:p w:rsidR="00587A25" w:rsidRDefault="00587A25">
      <w:pPr>
        <w:pStyle w:val="ConsPlusNormal"/>
        <w:jc w:val="right"/>
      </w:pPr>
      <w:r>
        <w:t>В.В.КУДРЯШОВ</w:t>
      </w:r>
    </w:p>
    <w:p w:rsidR="00587A25" w:rsidRDefault="00587A25">
      <w:pPr>
        <w:pStyle w:val="ConsPlusNormal"/>
        <w:jc w:val="both"/>
      </w:pPr>
    </w:p>
    <w:p w:rsidR="00587A25" w:rsidRDefault="00587A25">
      <w:pPr>
        <w:pStyle w:val="ConsPlusNormal"/>
        <w:jc w:val="both"/>
      </w:pPr>
    </w:p>
    <w:p w:rsidR="00587A25" w:rsidRDefault="00587A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07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587A25"/>
    <w:rsid w:val="00095E64"/>
    <w:rsid w:val="0055420B"/>
    <w:rsid w:val="00587A25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A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7A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7A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2F1BB5AE39FEDF91F93A34401AF41B150339120EAC237086DF7B80EE2F94D89ADBEC2AC9244D8E573BFC4268722FEAC3DFFFEAD755BC55E28AE1BH666K" TargetMode="External"/><Relationship Id="rId13" Type="http://schemas.openxmlformats.org/officeDocument/2006/relationships/hyperlink" Target="consultantplus://offline/ref=3A22F1BB5AE39FEDF91F93A34401AF41B150339120EAC237086DF7B80EE2F94D89ADBEC2AC9244D8E573BFC6298722FEAC3DFFFEAD755BC55E28AE1BH666K" TargetMode="External"/><Relationship Id="rId18" Type="http://schemas.openxmlformats.org/officeDocument/2006/relationships/hyperlink" Target="consultantplus://offline/ref=3A22F1BB5AE39FEDF91F93A34401AF41B150339120EAC237086DF7B80EE2F94D89ADBEC2AC9244D8E574B6C6268722FEAC3DFFFEAD755BC55E28AE1BH66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22F1BB5AE39FEDF91F93A34401AF41B150339120EAC237086DF7B80EE2F94D89ADBEC2AC9244D8E572B2C3228722FEAC3DFFFEAD755BC55E28AE1BH666K" TargetMode="External"/><Relationship Id="rId12" Type="http://schemas.openxmlformats.org/officeDocument/2006/relationships/hyperlink" Target="consultantplus://offline/ref=3A22F1BB5AE39FEDF91F93A34401AF41B150339120EAC237086DF7B80EE2F94D89ADBEC2AC9244D8E573B5CF278722FEAC3DFFFEAD755BC55E28AE1BH666K" TargetMode="External"/><Relationship Id="rId17" Type="http://schemas.openxmlformats.org/officeDocument/2006/relationships/hyperlink" Target="consultantplus://offline/ref=3A22F1BB5AE39FEDF91F93A34401AF41B150339120EAC237086DF7B80EE2F94D89ADBEC2AC9244D8E574B6C6238722FEAC3DFFFEAD755BC55E28AE1BH66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2F1BB5AE39FEDF91F93A34401AF41B150339120EAC237086DF7B80EE2F94D89ADBEC2AC9244D8E574B6C7288722FEAC3DFFFEAD755BC55E28AE1BH666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2F1BB5AE39FEDF91F93A34401AF41B150339120EAC237086DF7B80EE2F94D89ADBEC2BE921CD4E677A8C7249274AFEAH66BK" TargetMode="External"/><Relationship Id="rId11" Type="http://schemas.openxmlformats.org/officeDocument/2006/relationships/hyperlink" Target="consultantplus://offline/ref=3A22F1BB5AE39FEDF91F93A34401AF41B150339120EAC237086DF7B80EE2F94D89ADBEC2AC9244D8E573B7C1208722FEAC3DFFFEAD755BC55E28AE1BH666K" TargetMode="External"/><Relationship Id="rId5" Type="http://schemas.openxmlformats.org/officeDocument/2006/relationships/hyperlink" Target="consultantplus://offline/ref=3A22F1BB5AE39FEDF91F93A34401AF41B150339120EAC237086DF7B80EE2F94D89ADBEC2AC9244D8E572B2C3228722FEAC3DFFFEAD755BC55E28AE1BH666K" TargetMode="External"/><Relationship Id="rId15" Type="http://schemas.openxmlformats.org/officeDocument/2006/relationships/hyperlink" Target="consultantplus://offline/ref=3A22F1BB5AE39FEDF91F93A34401AF41B150339120EAC237086DF7B80EE2F94D89ADBEC2AC9244D8E574B6C7258722FEAC3DFFFEAD755BC55E28AE1BH666K" TargetMode="External"/><Relationship Id="rId10" Type="http://schemas.openxmlformats.org/officeDocument/2006/relationships/hyperlink" Target="consultantplus://offline/ref=3A22F1BB5AE39FEDF91F93A34401AF41B150339120EAC237086DF7B80EE2F94D89ADBEC2AC9244D8E573B1C0268722FEAC3DFFFEAD755BC55E28AE1BH666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22F1BB5AE39FEDF91F93A34401AF41B150339120EAC237086DF7B80EE2F94D89ADBEC2AC9244D8E470B2C7218722FEAC3DFFFEAD755BC55E28AE1BH666K" TargetMode="External"/><Relationship Id="rId14" Type="http://schemas.openxmlformats.org/officeDocument/2006/relationships/hyperlink" Target="consultantplus://offline/ref=3A22F1BB5AE39FEDF91F93A34401AF41B150339120EAC237086DF7B80EE2F94D89ADBEC2AC9244D8E573BFC5228722FEAC3DFFFEAD755BC55E28AE1BH66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2023-04-27T10:58:00Z</dcterms:created>
  <dcterms:modified xsi:type="dcterms:W3CDTF">2023-04-27T10:58:00Z</dcterms:modified>
</cp:coreProperties>
</file>