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46" w:rsidRDefault="00BC67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C6746" w:rsidRDefault="00BC6746">
      <w:pPr>
        <w:pStyle w:val="ConsPlusNormal"/>
        <w:jc w:val="both"/>
        <w:outlineLvl w:val="0"/>
      </w:pPr>
    </w:p>
    <w:p w:rsidR="00BC6746" w:rsidRDefault="00BC6746">
      <w:pPr>
        <w:pStyle w:val="ConsPlusTitle"/>
        <w:jc w:val="center"/>
        <w:outlineLvl w:val="0"/>
      </w:pPr>
      <w:r>
        <w:t>ПРАВИТЕЛЬСТВО САМАРСКОЙ ОБЛАСТИ</w:t>
      </w:r>
    </w:p>
    <w:p w:rsidR="00BC6746" w:rsidRDefault="00BC6746">
      <w:pPr>
        <w:pStyle w:val="ConsPlusTitle"/>
        <w:jc w:val="both"/>
      </w:pPr>
    </w:p>
    <w:p w:rsidR="00BC6746" w:rsidRDefault="00BC6746">
      <w:pPr>
        <w:pStyle w:val="ConsPlusTitle"/>
        <w:jc w:val="center"/>
      </w:pPr>
      <w:r>
        <w:t>ПОСТАНОВЛЕНИЕ</w:t>
      </w:r>
    </w:p>
    <w:p w:rsidR="00BC6746" w:rsidRDefault="00BC6746">
      <w:pPr>
        <w:pStyle w:val="ConsPlusTitle"/>
        <w:jc w:val="center"/>
      </w:pPr>
      <w:r>
        <w:t>от 30 декабря 2022 г. N 1283</w:t>
      </w:r>
    </w:p>
    <w:p w:rsidR="00BC6746" w:rsidRDefault="00BC6746">
      <w:pPr>
        <w:pStyle w:val="ConsPlusTitle"/>
        <w:jc w:val="both"/>
      </w:pPr>
    </w:p>
    <w:p w:rsidR="00BC6746" w:rsidRDefault="00BC6746">
      <w:pPr>
        <w:pStyle w:val="ConsPlusTitle"/>
        <w:jc w:val="center"/>
      </w:pPr>
      <w:r>
        <w:t>ОБ УТВЕРЖДЕНИИ БЮДЖЕТНОГО ПРОГНОЗА САМАРСКОЙ ОБЛАСТИ</w:t>
      </w:r>
    </w:p>
    <w:p w:rsidR="00BC6746" w:rsidRDefault="00BC6746">
      <w:pPr>
        <w:pStyle w:val="ConsPlusTitle"/>
        <w:jc w:val="center"/>
      </w:pPr>
      <w:r>
        <w:t>НА ДОЛГОСРОЧНЫЙ ПЕРИОД ДО 2034 ГОДА</w:t>
      </w: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170.1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 xml:space="preserve">1. Утвердить прилагаемый бюджетный </w:t>
      </w:r>
      <w:hyperlink w:anchor="P29">
        <w:r>
          <w:rPr>
            <w:color w:val="0000FF"/>
          </w:rPr>
          <w:t>прогноз</w:t>
        </w:r>
      </w:hyperlink>
      <w:r>
        <w:t xml:space="preserve"> Самарской области на долгосрочный период до 2034 года.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17.02.2017 N 104 "Об утверждении бюджетного прогноза Самарской области на долгосрочный период до 2030 года".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right"/>
      </w:pPr>
      <w:r>
        <w:t>Первый вице-губернатор - председатель</w:t>
      </w:r>
    </w:p>
    <w:p w:rsidR="00BC6746" w:rsidRDefault="00BC6746">
      <w:pPr>
        <w:pStyle w:val="ConsPlusNormal"/>
        <w:jc w:val="right"/>
      </w:pPr>
      <w:r>
        <w:t>Правительства Самарской области</w:t>
      </w:r>
    </w:p>
    <w:p w:rsidR="00BC6746" w:rsidRDefault="00BC6746">
      <w:pPr>
        <w:pStyle w:val="ConsPlusNormal"/>
        <w:jc w:val="right"/>
      </w:pPr>
      <w:r>
        <w:t>В.В.КУДРЯШОВ</w:t>
      </w: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right"/>
        <w:outlineLvl w:val="0"/>
      </w:pPr>
      <w:r>
        <w:t>Утвержден</w:t>
      </w:r>
    </w:p>
    <w:p w:rsidR="00BC6746" w:rsidRDefault="00BC6746">
      <w:pPr>
        <w:pStyle w:val="ConsPlusNormal"/>
        <w:jc w:val="right"/>
      </w:pPr>
      <w:r>
        <w:t>Постановлением</w:t>
      </w:r>
    </w:p>
    <w:p w:rsidR="00BC6746" w:rsidRDefault="00BC6746">
      <w:pPr>
        <w:pStyle w:val="ConsPlusNormal"/>
        <w:jc w:val="right"/>
      </w:pPr>
      <w:r>
        <w:t>Правительства Самарской области</w:t>
      </w:r>
    </w:p>
    <w:p w:rsidR="00BC6746" w:rsidRDefault="00BC6746">
      <w:pPr>
        <w:pStyle w:val="ConsPlusNormal"/>
        <w:jc w:val="right"/>
      </w:pPr>
      <w:r>
        <w:t>от 30 декабря 2022 г. N 1283</w:t>
      </w: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Title"/>
        <w:jc w:val="center"/>
      </w:pPr>
      <w:bookmarkStart w:id="0" w:name="P29"/>
      <w:bookmarkEnd w:id="0"/>
      <w:r>
        <w:t>БЮДЖЕТНЫЙ ПРОГНОЗ</w:t>
      </w:r>
    </w:p>
    <w:p w:rsidR="00BC6746" w:rsidRDefault="00BC6746">
      <w:pPr>
        <w:pStyle w:val="ConsPlusTitle"/>
        <w:jc w:val="center"/>
      </w:pPr>
      <w:r>
        <w:t>САМАРСКОЙ ОБЛАСТИ НА ДОЛГОСРОЧНЫЙ ПЕРИОД ДО 2034 ГОДА</w:t>
      </w: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ind w:firstLine="540"/>
        <w:jc w:val="both"/>
      </w:pPr>
      <w:r>
        <w:t xml:space="preserve">Бюджетный прогноз Самарской области на долгосрочный период разработан на 12 лет (на 2023 - 2034 годы) (далее - бюджетный прогноз) в соответствии с требованиями </w:t>
      </w:r>
      <w:hyperlink r:id="rId7">
        <w:r>
          <w:rPr>
            <w:color w:val="0000FF"/>
          </w:rPr>
          <w:t>статьи 170.1</w:t>
        </w:r>
      </w:hyperlink>
      <w:r>
        <w:t xml:space="preserve"> Бюджетного кодекса Российской Федерации на основании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02.06.2015 N 305 "Об утверждении Порядка разработки бюджетного прогноза Самарской области на долгосрочный период".</w:t>
      </w:r>
    </w:p>
    <w:p w:rsidR="00BC6746" w:rsidRDefault="00BC6746">
      <w:pPr>
        <w:pStyle w:val="ConsPlusNormal"/>
        <w:spacing w:before="220"/>
        <w:ind w:firstLine="540"/>
        <w:jc w:val="both"/>
      </w:pPr>
      <w:proofErr w:type="gramStart"/>
      <w:r>
        <w:t xml:space="preserve">Бюджетный прогноз разработан с учетом стратегических целей, сформулированных в посланиях Президента Российской Федерации Федеральному Собранию Российской Федерации, в указах Президента Российской Федерации от 07.05.2018 </w:t>
      </w:r>
      <w:hyperlink r:id="rId9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10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Основных направлениях бюджетной и налоговой</w:t>
      </w:r>
      <w:proofErr w:type="gramEnd"/>
      <w:r>
        <w:t xml:space="preserve"> политики Самарской области.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lastRenderedPageBreak/>
        <w:t>Основной целью долгосрочного бюджетного планирования является определение финансовых возможностей бюджета Самарской области для исполнения принятых и принимаемых расходных обязательств, тенденций изменения доходной и расходной частей бюджета, условий привлечения и обслуживания заимствований.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В 2020 - 2021 годах социально-экономическое развитие Самарской области проходило в условиях преодоления последствий пандемии коронавирусной инфекции COVID-19, концентрации финансовых ресурсов на приоритетных направлениях расходов, выполнения принятых социально значимых обязательств, сохранения объема государственного долга региона на экономически безопасном уровне. Итоги исполнения областного бюджета в целом свидетельствуют о том, что благодаря взвешенным решениям, принятым на федеральном и региональном уровне, удалось поддержать экономику региона и снизить негативные последствия пандемии.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2021 год стал годом восстановления экономики региона. Благодаря значительной федеральной и региональной поддержке, оказываемой предприятиям и организациям, малому бизнесу и населению, региону удалось вернуться на положительную траекторию экономического роста.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Социально-экономическое развитие Самарской области в 2022 году проходит в условиях сложной геополитической ситуации, беспрецедентного внешнего санкционного давления, что оказывает сдерживающий эффект на развитие региона.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В целом анализ основных показателей социально-экономического развития области за 2022 год позволяет сделать вывод, что экономика региона вошла в период структурных изменений в производстве и логистике при сохранении устойчивости в сфере занятости и в социальной сфере.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Экономика Самарской области будет развиваться в условиях сохранения рисков, возникших вследствие внешнего санкционного давления. Внешнеэкономическая и геополитическая нестабильность остается ключевым источником риска для параметров прогноза.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Сценарные условия бюджетного прогноза вытекают из двух вариантов прогноза социально-экономического развития Самарской области на период до 2034 года: базового и консервативного.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Оба варианта основаны на предположениях о сохранении в среднесрочной перспективе антироссийской санкционной политики и ответных экономических мер Российской Федерации, базируются на единых целях государственной социально-экономической политики.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Базовый вариант прогноза предполагает эффективное выполнение мероприятий, обеспечивающих реализацию национальных целей и задач. Консервативный вариант прогноза предполагает наличие рисков достижения целевых показателей.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По консервативному варианту прогноза в условиях сохранения рисков неустойчивого развития экономики вследствие высокой неопределенности внешнеэкономических факторов, а также с учетом консервативных оценок потребительского и инвестиционного спроса темпы экономического роста будут минимальными.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Отличия по вариантам объясняются, прежде всего: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различной степенью адаптации региональной экономики к внешним вызовам;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различной динамикой развития отраслей и секторов экономии области;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 xml:space="preserve">масштабностью и эффективностью </w:t>
      </w:r>
      <w:proofErr w:type="gramStart"/>
      <w:r>
        <w:t>предпринимаемых мер</w:t>
      </w:r>
      <w:proofErr w:type="gramEnd"/>
      <w:r>
        <w:t xml:space="preserve"> государственной политики, направленной на сбережение населения, повышение уровня и качества его жизни, обеспечение </w:t>
      </w:r>
      <w:r>
        <w:lastRenderedPageBreak/>
        <w:t>устойчивого развития экономики, улучшение институциональной среды.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В прогнозном периоде определяющее воздействие на экономику области будут оказывать следующие факторы: функционирование мировой и российской экономики, конъюнктура на мировых рынках, доступность кредитных ресурсов для региональных товаропроизводителей и населения, внешнеэкономическая, фискальная, кредитно-денежная политика, демографическая ситуация, состояние рынка труда и уровень занятости, уровень благосостояния населения, динамика потребительского и инвестиционного спроса.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Динамика экономического развития Самарской области по обоим вариантам прогноза рассчитана без учета возможных новых кризисных явлений в мировой и российской экономике.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Базовый вариант прогноза предполагает ускоренную адаптацию экономики к новым условиям и обеспечение в дальнейшем ее выхода на траекторию устойчивого роста. Прогноз исходит из предпосылок реализации активной долгосрочной государственной политики, направленной на структурную перестройку и модернизацию экономики, повышение ее конкурентоспособности и технологической независимости. Важнейшими факторами интенсификации экономического развития в 2023 - 2034 годах будут выступать положительная динамика реального сектора экономики, инвестиций в основной капитал, связанная с активизацией инвестиционных вложений в модернизацию экономики и инфраструктуры, реализацией политики импортозамещения. Притоку инвестиций будут благоприятствовать наличие подготовленных и создание новых производственных площадок и индустриальных парков, относительно высокая обеспеченность квалифицированными трудовыми ресурсами. Одновременно ожидается умеренный рост потребительского спроса со стороны домашних хозяйств, основанный на положительной динамике роста заработной платы и доходов населения, сохранении инфляции на достаточно низком уровне. Дополнительный импульс экономическому росту дадут увеличение производительности труда, развитие малого и среднего предпринимательства, поддержка инновационной активности, развитие приоритетных кластеров и новых сегментов экономики, стимулирование развития цифровых технологий.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Консервативный вариант прогноза предполагает относительно медленную перестройку производственно-логистических цепочек, длительный цикл выхода на импортозамещение, недостаточно высокий рост инвестиционного и потребительского спроса.</w:t>
      </w:r>
    </w:p>
    <w:p w:rsidR="00BC6746" w:rsidRDefault="00BC6746">
      <w:pPr>
        <w:pStyle w:val="ConsPlusNormal"/>
        <w:spacing w:before="220"/>
        <w:ind w:firstLine="540"/>
        <w:jc w:val="both"/>
      </w:pPr>
      <w:proofErr w:type="gramStart"/>
      <w:r>
        <w:t>Ограничениями экономического роста Самарской области в долгосрочной перспективе могут стать внешнеэкономическая нестабильность, недостаточные темпы роста производительности труда, высокий износ основных фондов в регионе, в том числе в обрабатывающих производствах, недостаточная конкурентоспособность продукции приоритетных отраслей, усиливающаяся конкуренция со стороны регионов России за привлечение инвестиций, нехватка финансовых ресурсов, направляемых на инвестирование, в том числе бюджетных, недостаточная инновационная активность, структурные, инфраструктурные и экологические</w:t>
      </w:r>
      <w:proofErr w:type="gramEnd"/>
      <w:r>
        <w:t xml:space="preserve"> ограничения, снижение численности населения трудоспособного возраста, а также структурные диспропорции профессионально-квалификационного состава работников и др.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Бюджетный прогноз базируется на ожидаемой оценке поступлений доходов текущего года с учетом консервативного варианта прогноза социально-экономического развития области. Прогноз расходов сформирован с учетом планируемых поступлений доходов и источников финансирования дефицита бюджета.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Основными целями и направлениями деятельности Правительства Самарской области в области налоговой политики будут являться: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сохранение бюджетной устойчивости, увеличение доходной части бюджета, в том числе вследствие преодоления негативного влияния введенных санкций и ограничений;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lastRenderedPageBreak/>
        <w:t>поддержка инвестиционной активности бизнеса, в первую очередь, в производственной сфере, обеспечивающей увеличение налогового потенциала области;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поддержание уровня сбалансированности бюджетной системы Самарской области без увеличения налоговой нагрузки на добросовестных налогоплательщиков;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продолжение работы по оценке эффективности налоговых льгот, установленных региональным законодательством, и отмене неэффективных налоговых льгот с учетом изменений, вносимых на федеральном уровне;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проведение мероприятий, направленных на повышение эффективности использования имущества Самарской области, составляющего казну, а также имущества, закрепленного на праве оперативного управления и хозяйственного ведения за организациями, с целью пополнения доходной части областного бюджета;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проведение совместной с органами местного самоуправления работы по увеличению налоговой базы по имущественным налогам, поступление которых в меньшей степени зависит от экономической ситуации в стране и регионе.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 xml:space="preserve">Основными направлениями бюджетной </w:t>
      </w:r>
      <w:proofErr w:type="gramStart"/>
      <w:r>
        <w:t>политики на</w:t>
      </w:r>
      <w:proofErr w:type="gramEnd"/>
      <w:r>
        <w:t xml:space="preserve"> долгосрочный период будут являться: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эффективное управление государственными финансами и преодоление внешних вызовов;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обеспечение бюджетной устойчивости и сбалансированности областного бюджета;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концентрация финансовых ресурсов на реализации национальных целей;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формирование оптимальной структуры расходов бюджета, ориентированного на содействие социальному и экономическому развитию области;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повышение эффективности бюджетных расходов;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совершенствование системы межбюджетных отношений;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повышение эффективности государственного финансового контроля;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обеспечение открытости и прозрачности областного бюджета и бюджетного процесса для граждан;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повышение уровня и качества жизни населения.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Реализация долговой политики региона будет основываться на следующих принципах: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эффективное управление государственным долгом области и поддержание экономически безопасного уровня государственного долга Самарской области с учетом дополнительных ограничений, установленных соглашением между министерством управления финансами Самарской области и Минфином России в рамках реструктуризации бюджетных кредитов;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оптимизация структуры государственного долга по видам и срокам заимствований в целях минимизации стоимости его обслуживания и обеспечения равномерной долговой нагрузки, связанной с погашением долговых обязательств;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обеспечение исполнения и обслуживания долговых обязатель</w:t>
      </w:r>
      <w:proofErr w:type="gramStart"/>
      <w:r>
        <w:t>ств св</w:t>
      </w:r>
      <w:proofErr w:type="gramEnd"/>
      <w:r>
        <w:t>оевременно и в полном объеме при различных обстоятельствах, включая кризисные явления в экономике и на финансовых рынках.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 xml:space="preserve">Основными рисками неисполнения бюджетного прогноза Самарской области в </w:t>
      </w:r>
      <w:r>
        <w:lastRenderedPageBreak/>
        <w:t>долгосрочной перспективе будут являться кризисные явления в мировой и российской экономике. Наиболее неблагоприятными последствиями и рисками для бюджетной системы Самарской области являются: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влияние санкций и ограничений, введенных странами Евросоюза и США;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конъюнктура мировых рынков энергоносителей;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снижение цены на нефть;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превышение прогнозируемого уровня инфляции;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изменение федерального законодательства в области налогового регулирования;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изменение финансово-экономической политики предприятий, входящих в крупные корпорации и холдинги, в сторону уменьшения финансовых показателей производства на территории Самарской области;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риск ликвидности, возникающий в случае отсутствия необходимых сре</w:t>
      </w:r>
      <w:proofErr w:type="gramStart"/>
      <w:r>
        <w:t>дств дл</w:t>
      </w:r>
      <w:proofErr w:type="gramEnd"/>
      <w:r>
        <w:t>я полного исполнения своих обязательств в срок. В целях снижения данного риска при планировании и осуществлении заимствований учитывается необходимость сохранения государственного долга на экономически безопасном уровне;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недостаточно активная деятельность муниципальных образований и главных распорядителей бюджетных средств как самостоятельных управленческих единиц по реализации стратегических целей Самарской области;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ухудшение условий для заимствований;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сокращение межбюджетных трансфертов из федерального бюджета;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закрепление дополнительных полномочий.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>В целях минимизации бюджетных рисков при планировании и исполнении областного бюджета необходимо придерживаться политики оптимизации, повышения доходного потенциала Самарской области, поддержания экономически безопасного уровня государственного долга и сдерживания расходов.</w:t>
      </w:r>
    </w:p>
    <w:p w:rsidR="00BC6746" w:rsidRDefault="00BC6746">
      <w:pPr>
        <w:pStyle w:val="ConsPlusNormal"/>
        <w:spacing w:before="220"/>
        <w:ind w:firstLine="540"/>
        <w:jc w:val="both"/>
      </w:pPr>
      <w:r>
        <w:t xml:space="preserve">Прогноз основных </w:t>
      </w:r>
      <w:hyperlink w:anchor="P100">
        <w:r>
          <w:rPr>
            <w:color w:val="0000FF"/>
          </w:rPr>
          <w:t>характеристик</w:t>
        </w:r>
      </w:hyperlink>
      <w:r>
        <w:t xml:space="preserve"> бюджета Самарской области, показатели объема государственного и муниципального долга Самарской области, а также прогноз расходов на осуществление непрограммных направлений деятельности области представлены в приложении 1 к бюджетному прогнозу.</w:t>
      </w:r>
    </w:p>
    <w:p w:rsidR="00BC6746" w:rsidRDefault="00BC6746">
      <w:pPr>
        <w:pStyle w:val="ConsPlusNormal"/>
        <w:spacing w:before="220"/>
        <w:ind w:firstLine="540"/>
        <w:jc w:val="both"/>
      </w:pPr>
      <w:hyperlink w:anchor="P382">
        <w:r>
          <w:rPr>
            <w:color w:val="0000FF"/>
          </w:rPr>
          <w:t>Показатели</w:t>
        </w:r>
      </w:hyperlink>
      <w:r>
        <w:t xml:space="preserve"> финансового обеспечения государственных и ведомственных программ Самарской области на период их действия за счет средств областного бюджета представлены в приложении 2 к бюджетному прогнозу.</w:t>
      </w: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right"/>
        <w:outlineLvl w:val="1"/>
      </w:pPr>
      <w:r>
        <w:t>Приложение 1</w:t>
      </w:r>
    </w:p>
    <w:p w:rsidR="00BC6746" w:rsidRDefault="00BC6746">
      <w:pPr>
        <w:pStyle w:val="ConsPlusNormal"/>
        <w:jc w:val="right"/>
      </w:pPr>
      <w:r>
        <w:t>к Бюджетному прогнозу</w:t>
      </w:r>
    </w:p>
    <w:p w:rsidR="00BC6746" w:rsidRDefault="00BC6746">
      <w:pPr>
        <w:pStyle w:val="ConsPlusNormal"/>
        <w:jc w:val="right"/>
      </w:pPr>
      <w:r>
        <w:t xml:space="preserve">Самарской области на </w:t>
      </w:r>
      <w:proofErr w:type="gramStart"/>
      <w:r>
        <w:t>долгосрочный</w:t>
      </w:r>
      <w:proofErr w:type="gramEnd"/>
    </w:p>
    <w:p w:rsidR="00BC6746" w:rsidRDefault="00BC6746">
      <w:pPr>
        <w:pStyle w:val="ConsPlusNormal"/>
        <w:jc w:val="right"/>
      </w:pPr>
      <w:r>
        <w:t>период до 2034 года</w:t>
      </w: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Title"/>
        <w:jc w:val="center"/>
      </w:pPr>
      <w:bookmarkStart w:id="1" w:name="P100"/>
      <w:bookmarkEnd w:id="1"/>
      <w:r>
        <w:lastRenderedPageBreak/>
        <w:t>ОСНОВНЫЕ ХАРАКТЕРИСТИКИ</w:t>
      </w:r>
    </w:p>
    <w:p w:rsidR="00BC6746" w:rsidRDefault="00BC6746">
      <w:pPr>
        <w:pStyle w:val="ConsPlusTitle"/>
        <w:jc w:val="center"/>
      </w:pPr>
      <w:proofErr w:type="gramStart"/>
      <w:r>
        <w:t>БЮДЖЕТА САМАРСКОЙ ОБЛАСТИ ДО 2034 ГОДА (ДОХОДЫ</w:t>
      </w:r>
      <w:proofErr w:type="gramEnd"/>
    </w:p>
    <w:p w:rsidR="00BC6746" w:rsidRDefault="00BC6746">
      <w:pPr>
        <w:pStyle w:val="ConsPlusTitle"/>
        <w:jc w:val="center"/>
      </w:pPr>
      <w:r>
        <w:t>СОГЛАСНО КОНСЕРВАТИВНОМУ ВАРИАНТУ ПРОГНОЗА</w:t>
      </w:r>
    </w:p>
    <w:p w:rsidR="00BC6746" w:rsidRDefault="00BC6746">
      <w:pPr>
        <w:pStyle w:val="ConsPlusTitle"/>
        <w:jc w:val="center"/>
      </w:pPr>
      <w:proofErr w:type="gramStart"/>
      <w:r>
        <w:t>СОЦИАЛЬНО-ЭКОНОМИЧЕСКОГО РАЗВИТИЯ)</w:t>
      </w:r>
      <w:proofErr w:type="gramEnd"/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right"/>
      </w:pPr>
      <w:r>
        <w:t>тыс. рублей</w:t>
      </w:r>
    </w:p>
    <w:p w:rsidR="00BC6746" w:rsidRDefault="00BC6746">
      <w:pPr>
        <w:pStyle w:val="ConsPlusNormal"/>
        <w:sectPr w:rsidR="00BC6746" w:rsidSect="00410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474"/>
        <w:gridCol w:w="1644"/>
        <w:gridCol w:w="1531"/>
        <w:gridCol w:w="1587"/>
        <w:gridCol w:w="1644"/>
        <w:gridCol w:w="1531"/>
        <w:gridCol w:w="1587"/>
        <w:gridCol w:w="1587"/>
        <w:gridCol w:w="1474"/>
        <w:gridCol w:w="1531"/>
        <w:gridCol w:w="1474"/>
        <w:gridCol w:w="1644"/>
      </w:tblGrid>
      <w:tr w:rsidR="00BC6746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 xml:space="preserve">2023 год (в соответствии с законом о бюджете) </w:t>
            </w:r>
            <w:hyperlink w:anchor="P3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 xml:space="preserve">2024 год (в соответствии с законом о бюджете) </w:t>
            </w:r>
            <w:hyperlink w:anchor="P3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 xml:space="preserve">2025 год (в соответствии с законом о бюджете) </w:t>
            </w:r>
            <w:hyperlink w:anchor="P3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 xml:space="preserve">2026 год (прогноз) </w:t>
            </w:r>
            <w:hyperlink w:anchor="P3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 xml:space="preserve">2027 год (прогноз) </w:t>
            </w:r>
            <w:hyperlink w:anchor="P3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 xml:space="preserve">2028 год (прогноз) </w:t>
            </w:r>
            <w:hyperlink w:anchor="P3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 xml:space="preserve">2029 год (прогноз) </w:t>
            </w:r>
            <w:hyperlink w:anchor="P3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 xml:space="preserve">2030 год (прогноз) </w:t>
            </w:r>
            <w:hyperlink w:anchor="P3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 xml:space="preserve">2031 год (прогноз) </w:t>
            </w:r>
            <w:hyperlink w:anchor="P3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 xml:space="preserve">2032 год (прогноз) </w:t>
            </w:r>
            <w:hyperlink w:anchor="P3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 xml:space="preserve">2033 год (прогноз) </w:t>
            </w:r>
            <w:hyperlink w:anchor="P3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 xml:space="preserve">2034 год (прогноз) </w:t>
            </w:r>
            <w:hyperlink w:anchor="P369">
              <w:r>
                <w:rPr>
                  <w:color w:val="0000FF"/>
                </w:rPr>
                <w:t>&lt;**&gt;</w:t>
              </w:r>
            </w:hyperlink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Доходы,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242 751 153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247 034 002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240 865 949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229 358 713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236 595 250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244 436 731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252 808 300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261 585 805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270 862 001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281 092 454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292 209 886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303 896 178</w:t>
            </w: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191 885 492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215 193 895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222 714 044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229 358 713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236 595 250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244 436 731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252 808 300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261 585 805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270 862 001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281 092 454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292 209 886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303 896 178</w:t>
            </w: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50 865 661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31 840 107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18 151 905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Дефицит/профицит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-25 092 951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-20 460 596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-1 502 978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1 450 000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-1 650 000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-1 900 000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Источники финансирования дефицита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25 092 951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20 460 596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1 502 978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-1 450 000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-1 200 000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1 650 000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привлечение заимствований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33 651 193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42 050 000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22 035 000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28 760 075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24 495 075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28 720 149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30 788 783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30 052 492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27 721 126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30 034 834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30 603 468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31 517 176</w:t>
            </w: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погашение заимствований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8 558 242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21 630 260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23 160 075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30 210 075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25 695 075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27 070 149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28 888 783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30 052 492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27 721 126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30 034 834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30 603 468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31 517 176</w:t>
            </w: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прочие источники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40 856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2 628 053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Объем госдолга на конец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89 979 791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110 399 531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109 274 456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107 824 456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106 624 456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108 274 456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110 174 456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110 174 456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110 174 456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110 174 456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110 174 456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110 174 456</w:t>
            </w: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 xml:space="preserve">Уровень долговой нагрузки, % </w:t>
            </w:r>
            <w:hyperlink w:anchor="P370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33%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39%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39%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39%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39%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39%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39%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38%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37%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37%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36%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35%</w:t>
            </w: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lastRenderedPageBreak/>
              <w:t>Расходы, всего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267 844 104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267 494 598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242 368 927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227 908 713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235 395 250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246 086 731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254 708 300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261 585 805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270 862 001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281 092 454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292 209 886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303 896 178</w:t>
            </w: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 xml:space="preserve">расходы в рамках государственных и ведомственных целевых программ </w:t>
            </w:r>
            <w:hyperlink w:anchor="P37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254 257 546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240 243 351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218 132 034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205 117 842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211 855 725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221 478 058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229 237 470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235 427 225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243 775 801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252 983 209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262 988 897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273 506 560</w:t>
            </w: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непрограммные направления расходов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13 586 558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27 251 247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24 236 893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22 790 871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23 539 525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24 608 673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25 470 830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26 158 581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27 086 200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28 109 245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29 220 989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30 389 618</w:t>
            </w: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Условно утвержденные расходы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11 855 882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13 885 822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Доля программных расходов, 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95%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90%</w:t>
            </w: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Размер муниципального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15 321 440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15 119 370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15 119 370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15 119 370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15 119 370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15 119 370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15 119 370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15 119 370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15 119 370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15 119 370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15 119 370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15 119 370</w:t>
            </w:r>
          </w:p>
        </w:tc>
      </w:tr>
    </w:tbl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ind w:firstLine="540"/>
        <w:jc w:val="both"/>
      </w:pPr>
      <w:r>
        <w:t>--------------------------------</w:t>
      </w:r>
    </w:p>
    <w:p w:rsidR="00BC6746" w:rsidRDefault="00BC6746">
      <w:pPr>
        <w:pStyle w:val="ConsPlusNormal"/>
        <w:spacing w:before="220"/>
        <w:ind w:firstLine="540"/>
        <w:jc w:val="both"/>
      </w:pPr>
      <w:bookmarkStart w:id="2" w:name="P368"/>
      <w:bookmarkEnd w:id="2"/>
      <w:r>
        <w:t xml:space="preserve">&lt;*&gt; </w:t>
      </w:r>
      <w:hyperlink r:id="rId11">
        <w:r>
          <w:rPr>
            <w:color w:val="0000FF"/>
          </w:rPr>
          <w:t>Закон</w:t>
        </w:r>
      </w:hyperlink>
      <w:r>
        <w:t xml:space="preserve"> Самарской области от 30.11.2022 N 118-ГД "Об областном бюджете на 2023 год и на плановый период 2024 и 2025 годов".</w:t>
      </w:r>
    </w:p>
    <w:p w:rsidR="00BC6746" w:rsidRDefault="00BC6746">
      <w:pPr>
        <w:pStyle w:val="ConsPlusNormal"/>
        <w:spacing w:before="220"/>
        <w:ind w:firstLine="540"/>
        <w:jc w:val="both"/>
      </w:pPr>
      <w:bookmarkStart w:id="3" w:name="P369"/>
      <w:bookmarkEnd w:id="3"/>
      <w:r>
        <w:t>&lt;**&gt; За счет средств областного бюджета без учета безвозмездных поступлений.</w:t>
      </w:r>
    </w:p>
    <w:p w:rsidR="00BC6746" w:rsidRDefault="00BC6746">
      <w:pPr>
        <w:pStyle w:val="ConsPlusNormal"/>
        <w:spacing w:before="220"/>
        <w:ind w:firstLine="540"/>
        <w:jc w:val="both"/>
      </w:pPr>
      <w:bookmarkStart w:id="4" w:name="P370"/>
      <w:bookmarkEnd w:id="4"/>
      <w:r>
        <w:t xml:space="preserve">&lt;***&gt; Уровень долговой нагрузки рассчитан с учетом положений условий реструктуризации бюджетных кредитов, утвержденных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13.12.2017 N 1531, допускающих при расчете уровня долговой нагрузки исключение задолженности по инфраструктурным бюджетным кредитам и кредитам, предоставленным на погашение рыночных долговых обязательств муниципальных образований.</w:t>
      </w:r>
    </w:p>
    <w:p w:rsidR="00BC6746" w:rsidRDefault="00BC6746">
      <w:pPr>
        <w:pStyle w:val="ConsPlusNormal"/>
        <w:spacing w:before="220"/>
        <w:ind w:firstLine="540"/>
        <w:jc w:val="both"/>
      </w:pPr>
      <w:bookmarkStart w:id="5" w:name="P371"/>
      <w:bookmarkEnd w:id="5"/>
      <w:r>
        <w:t>&lt;****&gt; Объем расходов на финансовое обеспечение реализации государственных программ и ведомственных целевых программ Самарской области прогнозируется исходя из целевого показателя доли программных расходов не ниже 90% расходов.</w:t>
      </w: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right"/>
        <w:outlineLvl w:val="1"/>
      </w:pPr>
      <w:r>
        <w:t>Приложение 2</w:t>
      </w:r>
    </w:p>
    <w:p w:rsidR="00BC6746" w:rsidRDefault="00BC6746">
      <w:pPr>
        <w:pStyle w:val="ConsPlusNormal"/>
        <w:jc w:val="right"/>
      </w:pPr>
      <w:r>
        <w:t>к Бюджетному прогнозу</w:t>
      </w:r>
    </w:p>
    <w:p w:rsidR="00BC6746" w:rsidRDefault="00BC6746">
      <w:pPr>
        <w:pStyle w:val="ConsPlusNormal"/>
        <w:jc w:val="right"/>
      </w:pPr>
      <w:r>
        <w:t xml:space="preserve">Самарской области на </w:t>
      </w:r>
      <w:proofErr w:type="gramStart"/>
      <w:r>
        <w:t>долгосрочный</w:t>
      </w:r>
      <w:proofErr w:type="gramEnd"/>
    </w:p>
    <w:p w:rsidR="00BC6746" w:rsidRDefault="00BC6746">
      <w:pPr>
        <w:pStyle w:val="ConsPlusNormal"/>
        <w:jc w:val="right"/>
      </w:pPr>
      <w:r>
        <w:t>период до 2034 года</w:t>
      </w: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Title"/>
        <w:jc w:val="center"/>
      </w:pPr>
      <w:bookmarkStart w:id="6" w:name="P382"/>
      <w:bookmarkEnd w:id="6"/>
      <w:r>
        <w:t>ПОКАЗАТЕЛИ</w:t>
      </w:r>
    </w:p>
    <w:p w:rsidR="00BC6746" w:rsidRDefault="00BC6746">
      <w:pPr>
        <w:pStyle w:val="ConsPlusTitle"/>
        <w:jc w:val="center"/>
      </w:pPr>
      <w:r>
        <w:t xml:space="preserve">ФИНАНСОВОГО ОБЕСПЕЧЕНИЯ </w:t>
      </w:r>
      <w:proofErr w:type="gramStart"/>
      <w:r>
        <w:t>ГОСУДАРСТВЕННЫХ</w:t>
      </w:r>
      <w:proofErr w:type="gramEnd"/>
      <w:r>
        <w:t xml:space="preserve"> И ВЕДОМСТВЕННЫХ</w:t>
      </w:r>
    </w:p>
    <w:p w:rsidR="00BC6746" w:rsidRDefault="00BC6746">
      <w:pPr>
        <w:pStyle w:val="ConsPlusTitle"/>
        <w:jc w:val="center"/>
      </w:pPr>
      <w:r>
        <w:t>ЦЕЛЕВЫХ ПРОГРАММ САМАРСКОЙ ОБЛАСТИ НА ПЕРИОД ИХ ДЕЙСТВИЯ</w:t>
      </w: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right"/>
      </w:pPr>
      <w:r>
        <w:t>тыс. рублей</w:t>
      </w:r>
    </w:p>
    <w:p w:rsidR="00BC6746" w:rsidRDefault="00BC674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644"/>
        <w:gridCol w:w="1474"/>
        <w:gridCol w:w="1531"/>
        <w:gridCol w:w="1474"/>
        <w:gridCol w:w="1474"/>
        <w:gridCol w:w="1587"/>
        <w:gridCol w:w="1417"/>
        <w:gridCol w:w="1417"/>
        <w:gridCol w:w="1134"/>
        <w:gridCol w:w="1191"/>
      </w:tblGrid>
      <w:tr w:rsidR="00BC6746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>2023 год (в соответствии с законом о бюджете)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>2024 год (в соответствии с законом о бюджете)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>2025 год (в соответствии с законом о бюджете)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>2026 год &lt;*&gt;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>2027 год &lt;*&gt;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>2028 год &lt;*&gt;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>2029 год &lt;*&gt;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>2030 год &lt;*&gt;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>2031 год &lt;*&gt;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C6746" w:rsidRDefault="00BC6746">
            <w:pPr>
              <w:pStyle w:val="ConsPlusNormal"/>
              <w:jc w:val="center"/>
            </w:pPr>
            <w:r>
              <w:t>2032 год &lt;*&gt;</w:t>
            </w: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36 329 905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33 695 150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36 313 915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10 000</w:t>
            </w: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2015 - 2030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47 414 701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48 041 204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48 049 325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42 591 864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42 591 864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42 591 864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42 591 864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42 591 864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культуры в Самарской области на период до 2025 года"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lastRenderedPageBreak/>
              <w:t>4 537 944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5 851 907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2 354 819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lastRenderedPageBreak/>
              <w:t>Государственная программа Самарской области "Развитие физической культуры и спорта в Самарской области на 2014 - 2025 годы"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7 202 683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5 694 906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6 369 320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78 985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87 912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89 345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Государственная программа Самарской области "Обеспечение эпизоотического и ветеринарно-санитарного благополучия территории Самарской области" на 2021 - 2030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404 106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403 971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376 106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348 017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348 017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348 017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348 017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348 017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Государственная программа Самарской области "Развитие жилищного строительства в Самарской области" до 2025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4 575 854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3 045 880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2 157 133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Государственная программа Самарской области "Государственная поддержка собственников жилья" на 2014 - 2025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2 077 053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1 775 553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1 773 253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lastRenderedPageBreak/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3 906 396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3 737 958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3 312 250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2 321 720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2 321 720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2 321 720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2 321 720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2 321 720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Государственная программа Самарской области "Развитие лесного хозяйства Самарской области на 2014 - 2030 годы"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736 974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765 510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762 607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479 723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492 522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477 395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481 026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470 938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Государственная программа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277 539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298 186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17 079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1 203 429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1 203 429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1 203 429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1 203 429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1 203 429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1 297 809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514 264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271 161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407 440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407 440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407 440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407 440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407 440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Государственная программа Самарской области "Развитие коммунальной инфраструктуры в Самарской области" на 2014 - 2024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378 004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124 626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 xml:space="preserve">Государственная программа Самарской области "Энергосбережение и </w:t>
            </w:r>
            <w:r>
              <w:lastRenderedPageBreak/>
              <w:t>повышение энергетической эффективности" на 2014 - 2024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lastRenderedPageBreak/>
              <w:t>296 535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100 208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lastRenderedPageBreak/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51 368 578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44 679 219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40 868 775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  <w:tr w:rsidR="00BC67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both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2014 - 2025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1 585 783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1 457 278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  <w:jc w:val="center"/>
            </w:pPr>
            <w:r>
              <w:t>1 432 594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6746" w:rsidRDefault="00BC6746">
            <w:pPr>
              <w:pStyle w:val="ConsPlusNormal"/>
            </w:pPr>
          </w:p>
        </w:tc>
      </w:tr>
    </w:tbl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jc w:val="both"/>
      </w:pPr>
    </w:p>
    <w:p w:rsidR="00BC6746" w:rsidRDefault="00BC67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C34C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BC6746"/>
    <w:rsid w:val="00095E64"/>
    <w:rsid w:val="0055420B"/>
    <w:rsid w:val="0084782E"/>
    <w:rsid w:val="00A70D20"/>
    <w:rsid w:val="00BC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7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67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67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DC447FFE6DE2C5602E4235FF9EBAC57F07AB6439E5EF763D40068C16173856B2225C4117995756E53ABEF48E129E57BKEE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DC447FFE6DE2C5602FA2E4995B7A455FB26B94A9A54A13686063F9E3175D02B622393483FC6733805F1BA41FD2CFB79EF5FD40448K5E8L" TargetMode="External"/><Relationship Id="rId12" Type="http://schemas.openxmlformats.org/officeDocument/2006/relationships/hyperlink" Target="consultantplus://offline/ref=246DC447FFE6DE2C5602FA2E4995B7A455F820BA4B9C54A13686063F9E3175D039627B9D423ADE78684AB7EF4EKFE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DC447FFE6DE2C5602E4235FF9EBAC57F07AB64B9859FE63D95D62C9387F876C2D7AC10468CD7A6B4AB5EB52FD2BE7K7EAL" TargetMode="External"/><Relationship Id="rId11" Type="http://schemas.openxmlformats.org/officeDocument/2006/relationships/hyperlink" Target="consultantplus://offline/ref=246DC447FFE6DE2C5602E4235FF9EBAC57F07AB6439E5DF163D70068C16173856B2225C4117995756E53ABEF48E129E57BKEE8L" TargetMode="External"/><Relationship Id="rId5" Type="http://schemas.openxmlformats.org/officeDocument/2006/relationships/hyperlink" Target="consultantplus://offline/ref=246DC447FFE6DE2C5602FA2E4995B7A455FB26B94A9A54A13686063F9E3175D02B622393483FC6733805F1BA41FD2CFB79EF5FD40448K5E8L" TargetMode="External"/><Relationship Id="rId10" Type="http://schemas.openxmlformats.org/officeDocument/2006/relationships/hyperlink" Target="consultantplus://offline/ref=246DC447FFE6DE2C5602FA2E4995B7A452FE23B2409F54A13686063F9E3175D039627B9D423ADE78684AB7EF4EKFE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6DC447FFE6DE2C5602FA2E4995B7A452FE2CBB409E54A13686063F9E3175D039627B9D423ADE78684AB7EF4EKFE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3303</Words>
  <Characters>18831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2023-04-27T11:04:00Z</dcterms:created>
  <dcterms:modified xsi:type="dcterms:W3CDTF">2023-04-27T11:04:00Z</dcterms:modified>
</cp:coreProperties>
</file>