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78" w:rsidRDefault="004943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94378" w:rsidRDefault="00494378">
      <w:pPr>
        <w:pStyle w:val="ConsPlusNormal"/>
        <w:jc w:val="both"/>
        <w:outlineLvl w:val="0"/>
      </w:pPr>
    </w:p>
    <w:p w:rsidR="00494378" w:rsidRDefault="00494378">
      <w:pPr>
        <w:pStyle w:val="ConsPlusTitle"/>
        <w:jc w:val="center"/>
      </w:pPr>
      <w:r>
        <w:t>ПРАВИТЕЛЬСТВО САМАРСКОЙ ОБЛАСТИ</w:t>
      </w:r>
    </w:p>
    <w:p w:rsidR="00494378" w:rsidRDefault="00494378">
      <w:pPr>
        <w:pStyle w:val="ConsPlusTitle"/>
        <w:ind w:firstLine="540"/>
        <w:jc w:val="both"/>
      </w:pPr>
    </w:p>
    <w:p w:rsidR="00494378" w:rsidRDefault="00494378">
      <w:pPr>
        <w:pStyle w:val="ConsPlusTitle"/>
        <w:jc w:val="center"/>
      </w:pPr>
      <w:r>
        <w:t>ПОСТАНОВЛЕНИЕ</w:t>
      </w:r>
    </w:p>
    <w:p w:rsidR="00494378" w:rsidRDefault="00494378">
      <w:pPr>
        <w:pStyle w:val="ConsPlusTitle"/>
        <w:jc w:val="center"/>
      </w:pPr>
      <w:r>
        <w:t>от 11 декабря 2023 г. N 1004</w:t>
      </w:r>
    </w:p>
    <w:p w:rsidR="00494378" w:rsidRDefault="00494378">
      <w:pPr>
        <w:pStyle w:val="ConsPlusTitle"/>
        <w:ind w:firstLine="540"/>
        <w:jc w:val="both"/>
      </w:pPr>
    </w:p>
    <w:p w:rsidR="00494378" w:rsidRDefault="00494378">
      <w:pPr>
        <w:pStyle w:val="ConsPlusTitle"/>
        <w:jc w:val="center"/>
      </w:pPr>
      <w:r>
        <w:t>О ВНЕСЕНИИ ИЗМЕНЕНИЙ В ОТДЕЛЬНЫЕ ПОСТАНОВЛЕНИЯ ПРАВИТЕЛЬСТВА</w:t>
      </w:r>
    </w:p>
    <w:p w:rsidR="00494378" w:rsidRDefault="00494378">
      <w:pPr>
        <w:pStyle w:val="ConsPlusTitle"/>
        <w:jc w:val="center"/>
      </w:pPr>
      <w:r>
        <w:t>САМАРСКОЙ ОБЛАСТИ</w:t>
      </w:r>
    </w:p>
    <w:p w:rsidR="00494378" w:rsidRDefault="00494378">
      <w:pPr>
        <w:pStyle w:val="ConsPlusNormal"/>
        <w:jc w:val="both"/>
      </w:pPr>
    </w:p>
    <w:p w:rsidR="00494378" w:rsidRDefault="00494378">
      <w:pPr>
        <w:pStyle w:val="ConsPlusNormal"/>
        <w:ind w:firstLine="540"/>
        <w:jc w:val="both"/>
      </w:pPr>
      <w:r>
        <w:t>В целях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29.12.2014 N 854 "Об утверждении Положения о методике проведения анализа финансового состояния юридических лиц" следующее изменение: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Положении</w:t>
        </w:r>
      </w:hyperlink>
      <w:r>
        <w:t xml:space="preserve"> о методике проведения анализа финансового состояния юридических лиц:</w:t>
      </w:r>
    </w:p>
    <w:p w:rsidR="00494378" w:rsidRDefault="00494378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абзац седьмой пункта 4</w:t>
        </w:r>
      </w:hyperlink>
      <w:r>
        <w:t xml:space="preserve"> изложить в следующей редакции:</w:t>
      </w:r>
    </w:p>
    <w:p w:rsidR="00494378" w:rsidRDefault="00494378">
      <w:pPr>
        <w:pStyle w:val="ConsPlusNormal"/>
        <w:spacing w:before="220"/>
        <w:ind w:firstLine="540"/>
        <w:jc w:val="both"/>
      </w:pPr>
      <w:proofErr w:type="gramStart"/>
      <w:r>
        <w:t>"стоимость чистых активов юридического лица на последнюю отчетную дату меньше величины, равной трехкратной сумме обеспечиваемого кредита либо государственной гарантии (применяется при проведении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 соответствующими договорами (соглашениями) о предоставлении бюджетных кредитов.</w:t>
      </w:r>
      <w:proofErr w:type="gramEnd"/>
      <w:r>
        <w:t xml:space="preserve"> </w:t>
      </w:r>
      <w:proofErr w:type="gramStart"/>
      <w:r>
        <w:t>Указанное требование, касающееся стоимости чистых активов поручителя, не распространяется на поручительство юридического лица (поручителя),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поручителя).".</w:t>
      </w:r>
      <w:proofErr w:type="gramEnd"/>
    </w:p>
    <w:p w:rsidR="00494378" w:rsidRDefault="00494378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24.12.2019 N 986 "Об утверждении Порядка осуществления министерством управления финансами Самарской области оценки надежности банковской гарантии и поручительства в правоотношениях, возникших в связи с предоставлением бюджетных кредитов" следующие изменения: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Порядке</w:t>
        </w:r>
      </w:hyperlink>
      <w:r>
        <w:t xml:space="preserve"> осуществления министерством управления финансами Самарской области оценки надежности банковской гарантии и поручительства в правоотношениях, возникших в связи с предоставлением бюджетных кредитов: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пункте 1.2</w:t>
        </w:r>
      </w:hyperlink>
      <w:r>
        <w:t>: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абзаце третьем</w:t>
        </w:r>
      </w:hyperlink>
      <w:r>
        <w:t xml:space="preserve"> слова "или ликвидации</w:t>
      </w:r>
      <w:proofErr w:type="gramStart"/>
      <w:r>
        <w:t>;"</w:t>
      </w:r>
      <w:proofErr w:type="gramEnd"/>
      <w:r>
        <w:t xml:space="preserve"> заменить словами "или ликвидации. </w:t>
      </w:r>
      <w:proofErr w:type="gramStart"/>
      <w:r>
        <w:t>Указанное требование, касающееся стоимости чистых активов поручителя, не распространяется на поручительство юридического лица (поручителя),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поручителя;";</w:t>
      </w:r>
      <w:proofErr w:type="gramEnd"/>
    </w:p>
    <w:p w:rsidR="00494378" w:rsidRDefault="00494378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 xml:space="preserve">"банковских гарантий и поручительств юридических лиц, стоимость чистых активов которых на последнюю отчетную дату меньше величины, равной трехкратной сумме обеспечиваемого кредита. </w:t>
      </w:r>
      <w:proofErr w:type="gramStart"/>
      <w:r>
        <w:t>Указанное требование, касающееся стоимости чистых активов поручителя, не распространяется на поручительство юридического лица (поручителя),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поручителя</w:t>
      </w:r>
      <w:proofErr w:type="gramEnd"/>
      <w:r>
        <w:t>;".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30.12.2019 N 1022 "Об утверждении отдельных порядков, связанных с предоставлением государственных гарантий Самарской области" следующие изменения: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Порядке</w:t>
        </w:r>
      </w:hyperlink>
      <w:r>
        <w:t xml:space="preserve"> проведения оценки надежности поручительства, предоставляемого в обеспечение исполнения обязательства, при предоставлении государственной гарантии Самарской области:</w:t>
      </w:r>
    </w:p>
    <w:p w:rsidR="00494378" w:rsidRDefault="00494378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абзац пятый пункта 2</w:t>
        </w:r>
      </w:hyperlink>
      <w:r>
        <w:t xml:space="preserve"> изложить в следующей редакции: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 xml:space="preserve">"стоимость чистых активов поручителя на последнюю отчетную дату менее величины, равной трехкратной сумме обеспечиваемой государственной гарантии Самарской области. </w:t>
      </w:r>
      <w:proofErr w:type="gramStart"/>
      <w:r>
        <w:t>Указанное требование, касающееся стоимости чистых активов поручителя, не распространяется на поручительство юридического лица (поручителя),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поручителя</w:t>
      </w:r>
      <w:proofErr w:type="gramEnd"/>
      <w:r>
        <w:t>.";</w:t>
      </w:r>
    </w:p>
    <w:p w:rsidR="00494378" w:rsidRDefault="00494378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абзац третий пункта 4</w:t>
        </w:r>
      </w:hyperlink>
      <w:r>
        <w:t xml:space="preserve"> изложить в следующей редакции: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 xml:space="preserve">"стоимость чистых активов поручителя на последнюю отчетную дату менее величины, равной трехкратной сумме государственной гарантии. </w:t>
      </w:r>
      <w:proofErr w:type="gramStart"/>
      <w:r>
        <w:t>Указанное требование, касающееся стоимости чистых активов поручителя, не распространяется на поручительство юридического лица (поручителя),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поручителя</w:t>
      </w:r>
      <w:proofErr w:type="gramEnd"/>
      <w:r>
        <w:t>.";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Порядке</w:t>
        </w:r>
      </w:hyperlink>
      <w:r>
        <w:t xml:space="preserve"> определения минимального объема (суммы)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гаранта к принципалу по государственной гарантии Самарской области в зависимости от степени удовлетворительности финансового состояния принципала:</w:t>
      </w:r>
    </w:p>
    <w:p w:rsidR="00494378" w:rsidRDefault="00494378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абзацы третий</w:t>
        </w:r>
      </w:hyperlink>
      <w:r>
        <w:t xml:space="preserve"> и </w:t>
      </w:r>
      <w:hyperlink r:id="rId19">
        <w:r>
          <w:rPr>
            <w:color w:val="0000FF"/>
          </w:rPr>
          <w:t>четвертый пункта 9</w:t>
        </w:r>
      </w:hyperlink>
      <w:r>
        <w:t xml:space="preserve"> признать утратившими силу.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494378" w:rsidRDefault="0049437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494378" w:rsidRDefault="00494378">
      <w:pPr>
        <w:pStyle w:val="ConsPlusNormal"/>
        <w:jc w:val="both"/>
      </w:pPr>
    </w:p>
    <w:p w:rsidR="00494378" w:rsidRDefault="00494378">
      <w:pPr>
        <w:pStyle w:val="ConsPlusNormal"/>
        <w:jc w:val="right"/>
      </w:pPr>
      <w:r>
        <w:t>И.о. первого вице-губернатора - председателя</w:t>
      </w:r>
    </w:p>
    <w:p w:rsidR="00494378" w:rsidRDefault="00494378">
      <w:pPr>
        <w:pStyle w:val="ConsPlusNormal"/>
        <w:jc w:val="right"/>
      </w:pPr>
      <w:r>
        <w:t>Правительства Самарской области</w:t>
      </w:r>
    </w:p>
    <w:p w:rsidR="00494378" w:rsidRDefault="00494378">
      <w:pPr>
        <w:pStyle w:val="ConsPlusNormal"/>
        <w:jc w:val="right"/>
      </w:pPr>
      <w:r>
        <w:lastRenderedPageBreak/>
        <w:t>Н.И.КАТИНА</w:t>
      </w:r>
    </w:p>
    <w:p w:rsidR="00494378" w:rsidRDefault="00494378">
      <w:pPr>
        <w:pStyle w:val="ConsPlusNormal"/>
        <w:jc w:val="both"/>
      </w:pPr>
    </w:p>
    <w:p w:rsidR="00494378" w:rsidRDefault="00494378">
      <w:pPr>
        <w:pStyle w:val="ConsPlusNormal"/>
        <w:jc w:val="both"/>
      </w:pPr>
    </w:p>
    <w:p w:rsidR="00494378" w:rsidRDefault="004943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9D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494378"/>
    <w:rsid w:val="00095E64"/>
    <w:rsid w:val="00101F10"/>
    <w:rsid w:val="00494378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3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43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43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27126" TargetMode="External"/><Relationship Id="rId13" Type="http://schemas.openxmlformats.org/officeDocument/2006/relationships/hyperlink" Target="https://login.consultant.ru/link/?req=doc&amp;base=RLAW256&amp;n=127580" TargetMode="External"/><Relationship Id="rId18" Type="http://schemas.openxmlformats.org/officeDocument/2006/relationships/hyperlink" Target="https://login.consultant.ru/link/?req=doc&amp;base=RLAW256&amp;n=127580&amp;dst=10022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56&amp;n=119549&amp;dst=100035" TargetMode="External"/><Relationship Id="rId12" Type="http://schemas.openxmlformats.org/officeDocument/2006/relationships/hyperlink" Target="https://login.consultant.ru/link/?req=doc&amp;base=RLAW256&amp;n=127126&amp;dst=100016" TargetMode="External"/><Relationship Id="rId17" Type="http://schemas.openxmlformats.org/officeDocument/2006/relationships/hyperlink" Target="https://login.consultant.ru/link/?req=doc&amp;base=RLAW256&amp;n=127580&amp;dst=1001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27580&amp;dst=10008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19549&amp;dst=100010" TargetMode="External"/><Relationship Id="rId11" Type="http://schemas.openxmlformats.org/officeDocument/2006/relationships/hyperlink" Target="https://login.consultant.ru/link/?req=doc&amp;base=RLAW256&amp;n=127126&amp;dst=100015" TargetMode="External"/><Relationship Id="rId5" Type="http://schemas.openxmlformats.org/officeDocument/2006/relationships/hyperlink" Target="https://login.consultant.ru/link/?req=doc&amp;base=RLAW256&amp;n=119549" TargetMode="External"/><Relationship Id="rId15" Type="http://schemas.openxmlformats.org/officeDocument/2006/relationships/hyperlink" Target="https://login.consultant.ru/link/?req=doc&amp;base=RLAW256&amp;n=127580&amp;dst=100070" TargetMode="External"/><Relationship Id="rId10" Type="http://schemas.openxmlformats.org/officeDocument/2006/relationships/hyperlink" Target="https://login.consultant.ru/link/?req=doc&amp;base=RLAW256&amp;n=127126&amp;dst=100013" TargetMode="External"/><Relationship Id="rId19" Type="http://schemas.openxmlformats.org/officeDocument/2006/relationships/hyperlink" Target="https://login.consultant.ru/link/?req=doc&amp;base=RLAW256&amp;n=127580&amp;dst=1002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27126&amp;dst=100010" TargetMode="External"/><Relationship Id="rId14" Type="http://schemas.openxmlformats.org/officeDocument/2006/relationships/hyperlink" Target="https://login.consultant.ru/link/?req=doc&amp;base=RLAW256&amp;n=127580&amp;dst=100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2024-04-25T12:28:00Z</dcterms:created>
  <dcterms:modified xsi:type="dcterms:W3CDTF">2024-04-25T12:28:00Z</dcterms:modified>
</cp:coreProperties>
</file>