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2" w:rsidRDefault="007002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02F2" w:rsidRDefault="007002F2">
      <w:pPr>
        <w:pStyle w:val="ConsPlusNormal"/>
        <w:jc w:val="both"/>
        <w:outlineLvl w:val="0"/>
      </w:pPr>
    </w:p>
    <w:p w:rsidR="007002F2" w:rsidRDefault="007002F2">
      <w:pPr>
        <w:pStyle w:val="ConsPlusTitle"/>
        <w:jc w:val="center"/>
        <w:outlineLvl w:val="0"/>
      </w:pPr>
      <w:r>
        <w:t>ПРАВИТЕЛЬСТВО САМАРСКОЙ ОБЛАСТИ</w:t>
      </w:r>
    </w:p>
    <w:p w:rsidR="007002F2" w:rsidRDefault="007002F2">
      <w:pPr>
        <w:pStyle w:val="ConsPlusTitle"/>
        <w:ind w:firstLine="540"/>
        <w:jc w:val="both"/>
      </w:pPr>
    </w:p>
    <w:p w:rsidR="007002F2" w:rsidRDefault="007002F2">
      <w:pPr>
        <w:pStyle w:val="ConsPlusTitle"/>
        <w:jc w:val="center"/>
      </w:pPr>
      <w:r>
        <w:t>ПОСТАНОВЛЕНИЕ</w:t>
      </w:r>
    </w:p>
    <w:p w:rsidR="007002F2" w:rsidRDefault="007002F2">
      <w:pPr>
        <w:pStyle w:val="ConsPlusTitle"/>
        <w:jc w:val="center"/>
      </w:pPr>
      <w:r>
        <w:t>от 22 декабря 2023 г. N 1093</w:t>
      </w:r>
    </w:p>
    <w:p w:rsidR="007002F2" w:rsidRDefault="007002F2">
      <w:pPr>
        <w:pStyle w:val="ConsPlusTitle"/>
        <w:ind w:firstLine="540"/>
        <w:jc w:val="both"/>
      </w:pPr>
    </w:p>
    <w:p w:rsidR="007002F2" w:rsidRDefault="007002F2">
      <w:pPr>
        <w:pStyle w:val="ConsPlusTitle"/>
        <w:jc w:val="center"/>
      </w:pPr>
      <w:r>
        <w:t>О ВНЕСЕНИИ ИЗМЕНЕНИЙ В ОТДЕЛЬНЫЕ ПОСТАНОВЛЕНИЯ</w:t>
      </w:r>
    </w:p>
    <w:p w:rsidR="007002F2" w:rsidRDefault="007002F2">
      <w:pPr>
        <w:pStyle w:val="ConsPlusTitle"/>
        <w:jc w:val="center"/>
      </w:pPr>
      <w:r>
        <w:t>ПРАВИТЕЛЬСТВА САМАРСКОЙ ОБЛАСТИ</w:t>
      </w: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статьей 10.1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09.12.2019 N 896 "Об организации деятельности по установлению прогнозных значений социально-экономических показателей, оцениваемых при предоставлении из областного бюджета дотаций местным бюджетам на поддержку мер по обеспечению сбалансированности местных бюджетов" следующее изменение: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</w:t>
        </w:r>
      </w:hyperlink>
      <w:r>
        <w:t xml:space="preserve"> к Порядку установления прогнозных значений социально-экономических показателей, оцениваемых при предоставлении из областного бюджета дотаций местным бюджетам на поддержку мер по обеспечению сбалансированности местных бюджетов: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пункте 9 в </w:t>
      </w:r>
      <w:hyperlink r:id="rId9">
        <w:r>
          <w:rPr>
            <w:color w:val="0000FF"/>
          </w:rPr>
          <w:t>графе</w:t>
        </w:r>
      </w:hyperlink>
      <w:r>
        <w:t xml:space="preserve"> "Наименование социально-экономического показателя" слова "Численность занятых в сфере малого и среднего предпринимательства" заменить словами "Количество субъектов малого и среднего предпринимательства".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Методике</w:t>
        </w:r>
      </w:hyperlink>
      <w:r>
        <w:t xml:space="preserve"> распределения дотаций местным бюджетам на поддержку мер по обеспечению сбалансированности местных бюджетов: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одиннадцатый пункта 2.8</w:t>
        </w:r>
      </w:hyperlink>
      <w:r>
        <w:t xml:space="preserve"> признать утратившим силу;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разделе 3</w:t>
        </w:r>
      </w:hyperlink>
      <w:r>
        <w:t>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наименовании раздела</w:t>
        </w:r>
      </w:hyperlink>
      <w:r>
        <w:t xml:space="preserve"> слова ", работников муниципальных учреждений, осуществляющих спортивную подготовку</w:t>
      </w:r>
      <w:proofErr w:type="gramStart"/>
      <w:r>
        <w:t>,"</w:t>
      </w:r>
      <w:proofErr w:type="gramEnd"/>
      <w:r>
        <w:t xml:space="preserve"> исключить;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3.1</w:t>
        </w:r>
      </w:hyperlink>
      <w:r>
        <w:t xml:space="preserve"> слова ", работников муниципальных учреждений, осуществляющих спортивную подготовку</w:t>
      </w:r>
      <w:proofErr w:type="gramStart"/>
      <w:r>
        <w:t>,"</w:t>
      </w:r>
      <w:proofErr w:type="gramEnd"/>
      <w:r>
        <w:t xml:space="preserve"> исключить;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3.2</w:t>
        </w:r>
      </w:hyperlink>
      <w:r>
        <w:t>: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слова</w:t>
        </w:r>
      </w:hyperlink>
      <w:r>
        <w:t xml:space="preserve"> "с учетом работников муниципальных учреждений, осуществляющих спортивную подготовку</w:t>
      </w:r>
      <w:proofErr w:type="gramStart"/>
      <w:r>
        <w:t>,"</w:t>
      </w:r>
      <w:proofErr w:type="gramEnd"/>
      <w:r>
        <w:t xml:space="preserve"> исключить;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четвертый</w:t>
        </w:r>
      </w:hyperlink>
      <w:r>
        <w:t xml:space="preserve"> и </w:t>
      </w:r>
      <w:hyperlink r:id="rId19">
        <w:r>
          <w:rPr>
            <w:color w:val="0000FF"/>
          </w:rPr>
          <w:t>пятый</w:t>
        </w:r>
      </w:hyperlink>
      <w:r>
        <w:t xml:space="preserve"> дополнить словами "и </w:t>
      </w:r>
      <w:proofErr w:type="gramStart"/>
      <w:r>
        <w:t>отраженная</w:t>
      </w:r>
      <w:proofErr w:type="gramEnd"/>
      <w:r>
        <w:t xml:space="preserve"> в официальной информации министерства культуры Самарской области и министерства образования и науки Самарской области, основанной на данных, полученных от муниципальных образований Самарской </w:t>
      </w:r>
      <w:r>
        <w:lastRenderedPageBreak/>
        <w:t>области";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приложении</w:t>
        </w:r>
      </w:hyperlink>
      <w:r>
        <w:t xml:space="preserve"> к Методике распределения дотаций местным бюджетам на поддержку мер по обеспечению сбалансированности местных бюджетов:</w:t>
      </w:r>
    </w:p>
    <w:p w:rsidR="007002F2" w:rsidRDefault="007002F2">
      <w:pPr>
        <w:pStyle w:val="ConsPlusNormal"/>
        <w:spacing w:before="220"/>
        <w:ind w:firstLine="540"/>
        <w:jc w:val="both"/>
      </w:pPr>
      <w:proofErr w:type="gramStart"/>
      <w:r>
        <w:t xml:space="preserve">в пункте 5 в </w:t>
      </w:r>
      <w:hyperlink r:id="rId21">
        <w:r>
          <w:rPr>
            <w:color w:val="0000FF"/>
          </w:rPr>
          <w:t>графе</w:t>
        </w:r>
      </w:hyperlink>
      <w:r>
        <w:t xml:space="preserve"> "Показатель, в зависимости от которого определяется степень затратности по направлению расходов (h</w:t>
      </w:r>
      <w:r>
        <w:rPr>
          <w:vertAlign w:val="subscript"/>
        </w:rPr>
        <w:t>ij</w:t>
      </w:r>
      <w:r>
        <w:t>)" слова "Доля ветхого и аварийного жилья, определяемая как отношение общей площади жилых помещений в ветхих и аварийных жилых домах к общей площади жилых помещений" заменить словами "Доля жилых помещений в многоквартирных домах и домах блокированной застройки, подлежащих расселению, определяемая как отношение площади жилых</w:t>
      </w:r>
      <w:proofErr w:type="gramEnd"/>
      <w:r>
        <w:t xml:space="preserve"> помещений в многоквартирных домах и домах блокированной застройки, подлежащих расселению, к общей площади жилых помещений";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Правилах</w:t>
        </w:r>
      </w:hyperlink>
      <w:r>
        <w:t xml:space="preserve">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>"соблюдение по итогам отчетного года норматива формирования расходов на содержание органов местного самоуправления, установленного Правительством Самарской области (условие учитывается при подведении итогов за отчетный год)</w:t>
      </w:r>
      <w:proofErr w:type="gramStart"/>
      <w:r>
        <w:t>;"</w:t>
      </w:r>
      <w:proofErr w:type="gramEnd"/>
      <w:r>
        <w:t>;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приложении 1</w:t>
        </w:r>
      </w:hyperlink>
      <w:r>
        <w:t xml:space="preserve"> к Правилам и условиям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в пункте 9 в </w:t>
      </w:r>
      <w:hyperlink r:id="rId26">
        <w:r>
          <w:rPr>
            <w:color w:val="0000FF"/>
          </w:rPr>
          <w:t>графе</w:t>
        </w:r>
      </w:hyperlink>
      <w:r>
        <w:t xml:space="preserve"> "Периодичность оценки и срок представления отчетных данных о выполнении показателя" слова "Ежегодно не позднее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" заменить словами "При подведении итогов за 2023 год - не позднее 1 апреля 2024 года";</w:t>
      </w:r>
    </w:p>
    <w:p w:rsidR="007002F2" w:rsidRDefault="007002F2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9</w:t>
        </w:r>
      </w:hyperlink>
      <w:r>
        <w:t xml:space="preserve"> после утверждения распределения между муниципальными образованиями Самарской области в 2024 году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 признать утратившим силу;</w:t>
      </w:r>
    </w:p>
    <w:p w:rsidR="007002F2" w:rsidRDefault="007002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0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F2" w:rsidRDefault="007002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F2" w:rsidRDefault="007002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2F2" w:rsidRDefault="007002F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19 п. 2 </w:t>
            </w:r>
            <w:hyperlink w:anchor="P3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2F2" w:rsidRDefault="007002F2">
            <w:pPr>
              <w:pStyle w:val="ConsPlusNormal"/>
            </w:pPr>
          </w:p>
        </w:tc>
      </w:tr>
    </w:tbl>
    <w:bookmarkStart w:id="0" w:name="P32"/>
    <w:bookmarkEnd w:id="0"/>
    <w:p w:rsidR="007002F2" w:rsidRDefault="007002F2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"https://login.consultant.ru/link/?req=doc&amp;base=RLAW256&amp;n=173102&amp;dst=100432" \h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12 в редакции согласно </w:t>
      </w:r>
      <w:hyperlink w:anchor="P5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при распределении части дотаций местным бюджетам на поддержку мер по обеспечению сбалансированности местных бюджетов, планируемой к распределению в целях частичного покрытия расходов местных бюджетов,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детей на 2024 год, значение фактической среднесписочной численности (с учетом внешних совместителей) работников, сложившейся по состоянию на</w:t>
      </w:r>
      <w:proofErr w:type="gramEnd"/>
      <w:r>
        <w:t xml:space="preserve"> </w:t>
      </w:r>
      <w:proofErr w:type="gramStart"/>
      <w:r>
        <w:t>1 июля отчетного года, определяется равным фактической среднесписочной численности (с учетом внешних совместителей) работников муниципальных учреждений культуры и педагогических работников муниципальных учреждений дополнительного образования детей с учетом отдельных категорий работников муниципальных организаций сферы физической культуры и спорта, осуществляющих спортивную подготовку, сложившейся по состоянию на 01.07.2022 и примененной при распределении дотаций местным бюджетам на поддержку мер по обеспечению сбалансированности местных бюджетов</w:t>
      </w:r>
      <w:proofErr w:type="gramEnd"/>
      <w:r>
        <w:t xml:space="preserve"> на 2023 год.</w:t>
      </w:r>
    </w:p>
    <w:p w:rsidR="007002F2" w:rsidRDefault="007002F2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002F2" w:rsidRDefault="007002F2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5. Настоящее Постановление вступает в силу со дня его официального опубликования, за исключением </w:t>
      </w:r>
      <w:hyperlink w:anchor="P32">
        <w:r>
          <w:rPr>
            <w:color w:val="0000FF"/>
          </w:rPr>
          <w:t>абзаца девятнадцатого пункта 2</w:t>
        </w:r>
      </w:hyperlink>
      <w:r>
        <w:t xml:space="preserve"> настоящего Постановления, который вступает в силу с 1 января 2024 года.</w:t>
      </w: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right"/>
      </w:pPr>
      <w:r>
        <w:t>И.о. первого вице-губернатора - председателя</w:t>
      </w:r>
    </w:p>
    <w:p w:rsidR="007002F2" w:rsidRDefault="007002F2">
      <w:pPr>
        <w:pStyle w:val="ConsPlusNormal"/>
        <w:jc w:val="right"/>
      </w:pPr>
      <w:r>
        <w:t>Правительства Самарской области</w:t>
      </w:r>
    </w:p>
    <w:p w:rsidR="007002F2" w:rsidRDefault="007002F2">
      <w:pPr>
        <w:pStyle w:val="ConsPlusNormal"/>
        <w:jc w:val="right"/>
      </w:pPr>
      <w:r>
        <w:t>Н.И.КАТИНА</w:t>
      </w: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right"/>
        <w:outlineLvl w:val="0"/>
      </w:pPr>
      <w:r>
        <w:t>Приложение</w:t>
      </w:r>
    </w:p>
    <w:p w:rsidR="007002F2" w:rsidRDefault="007002F2">
      <w:pPr>
        <w:pStyle w:val="ConsPlusNormal"/>
        <w:jc w:val="right"/>
      </w:pPr>
      <w:r>
        <w:t>к Постановлению</w:t>
      </w:r>
    </w:p>
    <w:p w:rsidR="007002F2" w:rsidRDefault="007002F2">
      <w:pPr>
        <w:pStyle w:val="ConsPlusNormal"/>
        <w:jc w:val="right"/>
      </w:pPr>
      <w:r>
        <w:t>Правительства Самарской области</w:t>
      </w:r>
    </w:p>
    <w:p w:rsidR="007002F2" w:rsidRDefault="007002F2">
      <w:pPr>
        <w:pStyle w:val="ConsPlusNormal"/>
        <w:jc w:val="right"/>
      </w:pPr>
      <w:r>
        <w:t>от 22 декабря 2023 г. N 1093</w:t>
      </w: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Title"/>
        <w:jc w:val="center"/>
      </w:pPr>
      <w:bookmarkStart w:id="2" w:name="P50"/>
      <w:bookmarkEnd w:id="2"/>
      <w:r>
        <w:t>ПОКАЗАТЕЛИ</w:t>
      </w:r>
    </w:p>
    <w:p w:rsidR="007002F2" w:rsidRDefault="007002F2">
      <w:pPr>
        <w:pStyle w:val="ConsPlusTitle"/>
        <w:jc w:val="center"/>
      </w:pPr>
      <w:proofErr w:type="gramStart"/>
      <w:r>
        <w:t>СОЦИАЛЬНО-ЭКОНОМИЧЕСКОГО РАЗВИТИЯ, ОЦЕНИВАЕМЫЕ</w:t>
      </w:r>
      <w:proofErr w:type="gramEnd"/>
    </w:p>
    <w:p w:rsidR="007002F2" w:rsidRDefault="007002F2">
      <w:pPr>
        <w:pStyle w:val="ConsPlusTitle"/>
        <w:jc w:val="center"/>
      </w:pPr>
      <w:r>
        <w:t>ПРИ ПРЕДОСТАВЛЕНИИ ИЗ ОБЛАСТНОГО БЮДЖЕТА ДОТАЦИЙ МЕСТНЫМ</w:t>
      </w:r>
    </w:p>
    <w:p w:rsidR="007002F2" w:rsidRDefault="007002F2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7002F2" w:rsidRDefault="007002F2">
      <w:pPr>
        <w:pStyle w:val="ConsPlusTitle"/>
        <w:jc w:val="center"/>
      </w:pPr>
      <w:r>
        <w:t>МЕСТНЫХ БЮДЖЕТОВ</w:t>
      </w: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sectPr w:rsidR="007002F2" w:rsidSect="0041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65"/>
        <w:gridCol w:w="1928"/>
        <w:gridCol w:w="1247"/>
        <w:gridCol w:w="2154"/>
        <w:gridCol w:w="1871"/>
      </w:tblGrid>
      <w:tr w:rsidR="007002F2">
        <w:tc>
          <w:tcPr>
            <w:tcW w:w="629" w:type="dxa"/>
            <w:vMerge w:val="restart"/>
          </w:tcPr>
          <w:p w:rsidR="007002F2" w:rsidRDefault="007002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7002F2" w:rsidRDefault="007002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75" w:type="dxa"/>
            <w:gridSpan w:val="2"/>
          </w:tcPr>
          <w:p w:rsidR="007002F2" w:rsidRDefault="007002F2">
            <w:pPr>
              <w:pStyle w:val="ConsPlusNormal"/>
              <w:jc w:val="center"/>
            </w:pPr>
            <w:r>
              <w:t>Доля влияния (вес) показателя на сводную оценку</w:t>
            </w:r>
          </w:p>
        </w:tc>
        <w:tc>
          <w:tcPr>
            <w:tcW w:w="2154" w:type="dxa"/>
            <w:vMerge w:val="restart"/>
          </w:tcPr>
          <w:p w:rsidR="007002F2" w:rsidRDefault="007002F2">
            <w:pPr>
              <w:pStyle w:val="ConsPlusNormal"/>
              <w:jc w:val="center"/>
            </w:pPr>
            <w:r>
              <w:t>Наименование органа, ответственного за формирование отчетных данных о выполнении показателя</w:t>
            </w:r>
          </w:p>
        </w:tc>
        <w:tc>
          <w:tcPr>
            <w:tcW w:w="1871" w:type="dxa"/>
            <w:vMerge w:val="restart"/>
          </w:tcPr>
          <w:p w:rsidR="007002F2" w:rsidRDefault="007002F2">
            <w:pPr>
              <w:pStyle w:val="ConsPlusNormal"/>
              <w:jc w:val="center"/>
            </w:pPr>
            <w:r>
              <w:t>Периодичность оценки и срок представления отчетных данных о выполнении показателя</w:t>
            </w:r>
          </w:p>
        </w:tc>
      </w:tr>
      <w:tr w:rsidR="007002F2">
        <w:tc>
          <w:tcPr>
            <w:tcW w:w="629" w:type="dxa"/>
            <w:vMerge/>
          </w:tcPr>
          <w:p w:rsidR="007002F2" w:rsidRDefault="007002F2">
            <w:pPr>
              <w:pStyle w:val="ConsPlusNormal"/>
            </w:pPr>
          </w:p>
        </w:tc>
        <w:tc>
          <w:tcPr>
            <w:tcW w:w="2665" w:type="dxa"/>
            <w:vMerge/>
          </w:tcPr>
          <w:p w:rsidR="007002F2" w:rsidRDefault="007002F2">
            <w:pPr>
              <w:pStyle w:val="ConsPlusNormal"/>
            </w:pPr>
          </w:p>
        </w:tc>
        <w:tc>
          <w:tcPr>
            <w:tcW w:w="1928" w:type="dxa"/>
          </w:tcPr>
          <w:p w:rsidR="007002F2" w:rsidRDefault="007002F2">
            <w:pPr>
              <w:pStyle w:val="ConsPlusNormal"/>
              <w:jc w:val="center"/>
            </w:pPr>
            <w:r>
              <w:t>городские округа, городские округа с внутригородским делением</w:t>
            </w:r>
          </w:p>
        </w:tc>
        <w:tc>
          <w:tcPr>
            <w:tcW w:w="1247" w:type="dxa"/>
          </w:tcPr>
          <w:p w:rsidR="007002F2" w:rsidRDefault="007002F2">
            <w:pPr>
              <w:pStyle w:val="ConsPlusNormal"/>
              <w:jc w:val="center"/>
            </w:pPr>
            <w:r>
              <w:t>муниципальные районы</w:t>
            </w:r>
          </w:p>
        </w:tc>
        <w:tc>
          <w:tcPr>
            <w:tcW w:w="2154" w:type="dxa"/>
            <w:vMerge/>
          </w:tcPr>
          <w:p w:rsidR="007002F2" w:rsidRDefault="007002F2">
            <w:pPr>
              <w:pStyle w:val="ConsPlusNormal"/>
            </w:pPr>
          </w:p>
        </w:tc>
        <w:tc>
          <w:tcPr>
            <w:tcW w:w="1871" w:type="dxa"/>
            <w:vMerge/>
          </w:tcPr>
          <w:p w:rsidR="007002F2" w:rsidRDefault="007002F2">
            <w:pPr>
              <w:pStyle w:val="ConsPlusNormal"/>
            </w:pPr>
          </w:p>
        </w:tc>
      </w:tr>
      <w:tr w:rsidR="007002F2">
        <w:tblPrEx>
          <w:tblBorders>
            <w:left w:val="nil"/>
            <w:right w:val="nil"/>
            <w:insideV w:val="nil"/>
          </w:tblBorders>
        </w:tblPrEx>
        <w:tc>
          <w:tcPr>
            <w:tcW w:w="629" w:type="dxa"/>
            <w:tcBorders>
              <w:bottom w:val="nil"/>
            </w:tcBorders>
          </w:tcPr>
          <w:p w:rsidR="007002F2" w:rsidRDefault="007002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bottom w:val="nil"/>
            </w:tcBorders>
          </w:tcPr>
          <w:p w:rsidR="007002F2" w:rsidRDefault="007002F2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7002F2" w:rsidRDefault="007002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bottom w:val="nil"/>
            </w:tcBorders>
          </w:tcPr>
          <w:p w:rsidR="007002F2" w:rsidRDefault="007002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7002F2" w:rsidRDefault="007002F2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7002F2" w:rsidRDefault="007002F2">
            <w:pPr>
              <w:pStyle w:val="ConsPlusNormal"/>
            </w:pPr>
            <w:r>
              <w:t>Не позднее 20 июля и 20 октября,</w:t>
            </w:r>
          </w:p>
          <w:p w:rsidR="007002F2" w:rsidRDefault="007002F2">
            <w:pPr>
              <w:pStyle w:val="ConsPlusNormal"/>
            </w:pPr>
            <w:r>
              <w:t xml:space="preserve">при подведении итогов за год - не позднее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jc w:val="both"/>
      </w:pPr>
    </w:p>
    <w:p w:rsidR="007002F2" w:rsidRDefault="007002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E01E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002F2"/>
    <w:rsid w:val="00095E64"/>
    <w:rsid w:val="00101F10"/>
    <w:rsid w:val="0055420B"/>
    <w:rsid w:val="0056711B"/>
    <w:rsid w:val="007002F2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0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02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3103&amp;dst=100030" TargetMode="External"/><Relationship Id="rId13" Type="http://schemas.openxmlformats.org/officeDocument/2006/relationships/hyperlink" Target="https://login.consultant.ru/link/?req=doc&amp;base=RLAW256&amp;n=173102&amp;dst=100506" TargetMode="External"/><Relationship Id="rId18" Type="http://schemas.openxmlformats.org/officeDocument/2006/relationships/hyperlink" Target="https://login.consultant.ru/link/?req=doc&amp;base=RLAW256&amp;n=173102&amp;dst=100135" TargetMode="External"/><Relationship Id="rId26" Type="http://schemas.openxmlformats.org/officeDocument/2006/relationships/hyperlink" Target="https://login.consultant.ru/link/?req=doc&amp;base=RLAW256&amp;n=173102&amp;dst=1004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73102&amp;dst=100195" TargetMode="External"/><Relationship Id="rId7" Type="http://schemas.openxmlformats.org/officeDocument/2006/relationships/hyperlink" Target="https://login.consultant.ru/link/?req=doc&amp;base=RLAW256&amp;n=173103" TargetMode="External"/><Relationship Id="rId12" Type="http://schemas.openxmlformats.org/officeDocument/2006/relationships/hyperlink" Target="https://login.consultant.ru/link/?req=doc&amp;base=RLAW256&amp;n=173102&amp;dst=100099" TargetMode="External"/><Relationship Id="rId17" Type="http://schemas.openxmlformats.org/officeDocument/2006/relationships/hyperlink" Target="https://login.consultant.ru/link/?req=doc&amp;base=RLAW256&amp;n=173102&amp;dst=100510" TargetMode="External"/><Relationship Id="rId25" Type="http://schemas.openxmlformats.org/officeDocument/2006/relationships/hyperlink" Target="https://login.consultant.ru/link/?req=doc&amp;base=RLAW256&amp;n=173102&amp;dst=1004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102&amp;dst=100510" TargetMode="External"/><Relationship Id="rId20" Type="http://schemas.openxmlformats.org/officeDocument/2006/relationships/hyperlink" Target="https://login.consultant.ru/link/?req=doc&amp;base=RLAW256&amp;n=173102&amp;dst=10014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8714&amp;dst=447" TargetMode="External"/><Relationship Id="rId11" Type="http://schemas.openxmlformats.org/officeDocument/2006/relationships/hyperlink" Target="https://login.consultant.ru/link/?req=doc&amp;base=RLAW256&amp;n=173102&amp;dst=100017" TargetMode="External"/><Relationship Id="rId24" Type="http://schemas.openxmlformats.org/officeDocument/2006/relationships/hyperlink" Target="https://login.consultant.ru/link/?req=doc&amp;base=RLAW256&amp;n=173102&amp;dst=100284" TargetMode="External"/><Relationship Id="rId5" Type="http://schemas.openxmlformats.org/officeDocument/2006/relationships/hyperlink" Target="https://login.consultant.ru/link/?req=doc&amp;base=LAW&amp;n=461085&amp;dst=5711" TargetMode="External"/><Relationship Id="rId15" Type="http://schemas.openxmlformats.org/officeDocument/2006/relationships/hyperlink" Target="https://login.consultant.ru/link/?req=doc&amp;base=RLAW256&amp;n=173102&amp;dst=100507" TargetMode="External"/><Relationship Id="rId23" Type="http://schemas.openxmlformats.org/officeDocument/2006/relationships/hyperlink" Target="https://login.consultant.ru/link/?req=doc&amp;base=RLAW256&amp;n=173102&amp;dst=1002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73102" TargetMode="External"/><Relationship Id="rId19" Type="http://schemas.openxmlformats.org/officeDocument/2006/relationships/hyperlink" Target="https://login.consultant.ru/link/?req=doc&amp;base=RLAW256&amp;n=173102&amp;dst=1001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3103&amp;dst=100059" TargetMode="External"/><Relationship Id="rId14" Type="http://schemas.openxmlformats.org/officeDocument/2006/relationships/hyperlink" Target="https://login.consultant.ru/link/?req=doc&amp;base=RLAW256&amp;n=173102&amp;dst=100506" TargetMode="External"/><Relationship Id="rId22" Type="http://schemas.openxmlformats.org/officeDocument/2006/relationships/hyperlink" Target="https://login.consultant.ru/link/?req=doc&amp;base=RLAW256&amp;n=173102&amp;dst=100227" TargetMode="External"/><Relationship Id="rId27" Type="http://schemas.openxmlformats.org/officeDocument/2006/relationships/hyperlink" Target="https://login.consultant.ru/link/?req=doc&amp;base=RLAW256&amp;n=173102&amp;dst=10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2024-04-25T11:55:00Z</dcterms:created>
  <dcterms:modified xsi:type="dcterms:W3CDTF">2024-04-25T11:55:00Z</dcterms:modified>
</cp:coreProperties>
</file>