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58" w:rsidRDefault="00CE3F58">
      <w:pPr>
        <w:pStyle w:val="ConsPlusTitlePage"/>
      </w:pPr>
      <w:r>
        <w:t xml:space="preserve">Документ предоставлен </w:t>
      </w:r>
      <w:hyperlink r:id="rId4">
        <w:r>
          <w:rPr>
            <w:color w:val="0000FF"/>
          </w:rPr>
          <w:t>КонсультантПлюс</w:t>
        </w:r>
      </w:hyperlink>
      <w:r>
        <w:br/>
      </w:r>
    </w:p>
    <w:p w:rsidR="00CE3F58" w:rsidRDefault="00CE3F58">
      <w:pPr>
        <w:pStyle w:val="ConsPlusNormal"/>
        <w:jc w:val="both"/>
        <w:outlineLvl w:val="0"/>
      </w:pPr>
    </w:p>
    <w:p w:rsidR="00CE3F58" w:rsidRDefault="00CE3F58">
      <w:pPr>
        <w:pStyle w:val="ConsPlusTitle"/>
        <w:jc w:val="center"/>
      </w:pPr>
      <w:r>
        <w:t>ПРАВИТЕЛЬСТВО САМАРСКОЙ ОБЛАСТИ</w:t>
      </w:r>
    </w:p>
    <w:p w:rsidR="00CE3F58" w:rsidRDefault="00CE3F58">
      <w:pPr>
        <w:pStyle w:val="ConsPlusTitle"/>
        <w:jc w:val="center"/>
      </w:pPr>
    </w:p>
    <w:p w:rsidR="00CE3F58" w:rsidRDefault="00CE3F58">
      <w:pPr>
        <w:pStyle w:val="ConsPlusTitle"/>
        <w:jc w:val="center"/>
      </w:pPr>
      <w:r>
        <w:t>ПОСТАНОВЛЕНИЕ</w:t>
      </w:r>
    </w:p>
    <w:p w:rsidR="00CE3F58" w:rsidRDefault="00CE3F58">
      <w:pPr>
        <w:pStyle w:val="ConsPlusTitle"/>
        <w:jc w:val="center"/>
      </w:pPr>
      <w:r>
        <w:t>от 2 июня 2023 г. N 443</w:t>
      </w:r>
    </w:p>
    <w:p w:rsidR="00CE3F58" w:rsidRDefault="00CE3F58">
      <w:pPr>
        <w:pStyle w:val="ConsPlusTitle"/>
        <w:jc w:val="center"/>
      </w:pPr>
    </w:p>
    <w:p w:rsidR="00CE3F58" w:rsidRDefault="00CE3F58">
      <w:pPr>
        <w:pStyle w:val="ConsPlusTitle"/>
        <w:jc w:val="center"/>
      </w:pPr>
      <w:r>
        <w:t xml:space="preserve">О ВНЕСЕНИИ ИЗМЕНЕНИЙ В ПОСТАНОВЛЕНИЕ ПРАВИТЕЛЬСТВА </w:t>
      </w:r>
      <w:proofErr w:type="gramStart"/>
      <w:r>
        <w:t>САМАРСКОЙ</w:t>
      </w:r>
      <w:proofErr w:type="gramEnd"/>
    </w:p>
    <w:p w:rsidR="00CE3F58" w:rsidRDefault="00CE3F58">
      <w:pPr>
        <w:pStyle w:val="ConsPlusTitle"/>
        <w:jc w:val="center"/>
      </w:pPr>
      <w:r>
        <w:t>ОБЛАСТИ ОТ 20.01.2016 N 14 "ОБ УТВЕРЖДЕНИИ ПОРЯДКА</w:t>
      </w:r>
    </w:p>
    <w:p w:rsidR="00CE3F58" w:rsidRDefault="00CE3F58">
      <w:pPr>
        <w:pStyle w:val="ConsPlusTitle"/>
        <w:jc w:val="center"/>
      </w:pPr>
      <w:r>
        <w:t>ПРЕДОСТАВЛЕНИЯ, ИСПОЛЬЗОВАНИЯ И ВОЗВРАТА БЮДЖЕТНЫХ КРЕДИТОВ</w:t>
      </w:r>
    </w:p>
    <w:p w:rsidR="00CE3F58" w:rsidRDefault="00CE3F58">
      <w:pPr>
        <w:pStyle w:val="ConsPlusTitle"/>
        <w:jc w:val="center"/>
      </w:pPr>
      <w:r>
        <w:t>ИЗ ОБЛАСТНОГО БЮДЖЕТА МЕСТНЫМ БЮДЖЕТАМ"</w:t>
      </w:r>
    </w:p>
    <w:p w:rsidR="00CE3F58" w:rsidRDefault="00CE3F58">
      <w:pPr>
        <w:pStyle w:val="ConsPlusNormal"/>
        <w:jc w:val="both"/>
      </w:pPr>
    </w:p>
    <w:p w:rsidR="00CE3F58" w:rsidRDefault="00CE3F58">
      <w:pPr>
        <w:pStyle w:val="ConsPlusNormal"/>
        <w:ind w:firstLine="540"/>
        <w:jc w:val="both"/>
      </w:pPr>
      <w:r>
        <w:t xml:space="preserve">В соответствии со </w:t>
      </w:r>
      <w:hyperlink r:id="rId5">
        <w:r>
          <w:rPr>
            <w:color w:val="0000FF"/>
          </w:rPr>
          <w:t>статьей 93.3</w:t>
        </w:r>
      </w:hyperlink>
      <w:r>
        <w:t xml:space="preserve"> Бюджетного кодекса Российской Федерации Правительство Самарской области постановляет:</w:t>
      </w:r>
    </w:p>
    <w:p w:rsidR="00CE3F58" w:rsidRDefault="00CE3F58">
      <w:pPr>
        <w:pStyle w:val="ConsPlusNormal"/>
        <w:spacing w:before="220"/>
        <w:ind w:firstLine="540"/>
        <w:jc w:val="both"/>
      </w:pPr>
      <w:r>
        <w:t xml:space="preserve">1. Внести в </w:t>
      </w:r>
      <w:hyperlink r:id="rId6">
        <w:r>
          <w:rPr>
            <w:color w:val="0000FF"/>
          </w:rPr>
          <w:t>постановление</w:t>
        </w:r>
      </w:hyperlink>
      <w:r>
        <w:t xml:space="preserve"> Правительства Самарской области от 20.01.2016 N 14 "Об утверждении Порядка предоставления, использования и возврата бюджетных кредитов из областного бюджета местным бюджетам" следующие изменения:</w:t>
      </w:r>
    </w:p>
    <w:p w:rsidR="00CE3F58" w:rsidRDefault="00CE3F58">
      <w:pPr>
        <w:pStyle w:val="ConsPlusNormal"/>
        <w:spacing w:before="220"/>
        <w:ind w:firstLine="540"/>
        <w:jc w:val="both"/>
      </w:pPr>
      <w:r>
        <w:t xml:space="preserve">в </w:t>
      </w:r>
      <w:hyperlink r:id="rId7">
        <w:r>
          <w:rPr>
            <w:color w:val="0000FF"/>
          </w:rPr>
          <w:t>Порядке</w:t>
        </w:r>
      </w:hyperlink>
      <w:r>
        <w:t xml:space="preserve"> предоставления, использования и возврата бюджетных кредитов из областного бюджета местным бюджетам:</w:t>
      </w:r>
    </w:p>
    <w:p w:rsidR="00CE3F58" w:rsidRDefault="00CE3F58">
      <w:pPr>
        <w:pStyle w:val="ConsPlusNormal"/>
        <w:spacing w:before="220"/>
        <w:ind w:firstLine="540"/>
        <w:jc w:val="both"/>
      </w:pPr>
      <w:r>
        <w:t xml:space="preserve">в </w:t>
      </w:r>
      <w:hyperlink r:id="rId8">
        <w:r>
          <w:rPr>
            <w:color w:val="0000FF"/>
          </w:rPr>
          <w:t>пункте 2</w:t>
        </w:r>
      </w:hyperlink>
      <w:r>
        <w:t>:</w:t>
      </w:r>
    </w:p>
    <w:p w:rsidR="00CE3F58" w:rsidRDefault="00CE3F58">
      <w:pPr>
        <w:pStyle w:val="ConsPlusNormal"/>
        <w:spacing w:before="220"/>
        <w:ind w:firstLine="540"/>
        <w:jc w:val="both"/>
      </w:pPr>
      <w:hyperlink r:id="rId9">
        <w:r>
          <w:rPr>
            <w:color w:val="0000FF"/>
          </w:rPr>
          <w:t>абзац третий</w:t>
        </w:r>
      </w:hyperlink>
      <w:r>
        <w:t xml:space="preserve"> изложить в следующей редакции:</w:t>
      </w:r>
    </w:p>
    <w:p w:rsidR="00CE3F58" w:rsidRDefault="00CE3F58">
      <w:pPr>
        <w:pStyle w:val="ConsPlusNormal"/>
        <w:spacing w:before="220"/>
        <w:ind w:firstLine="540"/>
        <w:jc w:val="both"/>
      </w:pPr>
      <w:r>
        <w:t>"не превышающие пределы текущего финансового года в целях покрытия временных кассовых разрывов, возникающих при исполнении местных бюджетов</w:t>
      </w:r>
      <w:proofErr w:type="gramStart"/>
      <w:r>
        <w:t>:"</w:t>
      </w:r>
      <w:proofErr w:type="gramEnd"/>
      <w:r>
        <w:t>;</w:t>
      </w:r>
    </w:p>
    <w:p w:rsidR="00CE3F58" w:rsidRDefault="00CE3F58">
      <w:pPr>
        <w:pStyle w:val="ConsPlusNormal"/>
        <w:spacing w:before="220"/>
        <w:ind w:firstLine="540"/>
        <w:jc w:val="both"/>
      </w:pPr>
      <w:r>
        <w:t xml:space="preserve">после </w:t>
      </w:r>
      <w:hyperlink r:id="rId10">
        <w:r>
          <w:rPr>
            <w:color w:val="0000FF"/>
          </w:rPr>
          <w:t>абзаца третьего</w:t>
        </w:r>
      </w:hyperlink>
      <w:r>
        <w:t xml:space="preserve"> дополнить абзацами следующего содержания:</w:t>
      </w:r>
    </w:p>
    <w:p w:rsidR="00CE3F58" w:rsidRDefault="00CE3F58">
      <w:pPr>
        <w:pStyle w:val="ConsPlusNormal"/>
        <w:spacing w:before="220"/>
        <w:ind w:firstLine="540"/>
        <w:jc w:val="both"/>
      </w:pPr>
      <w:r>
        <w:t>"со сроком возврата не позднее 25 декабря;</w:t>
      </w:r>
    </w:p>
    <w:p w:rsidR="00CE3F58" w:rsidRDefault="00CE3F58">
      <w:pPr>
        <w:pStyle w:val="ConsPlusNormal"/>
        <w:spacing w:before="220"/>
        <w:ind w:firstLine="540"/>
        <w:jc w:val="both"/>
      </w:pPr>
      <w:r>
        <w:t>на срок до 90 календарных дней</w:t>
      </w:r>
      <w:proofErr w:type="gramStart"/>
      <w:r>
        <w:t>;"</w:t>
      </w:r>
      <w:proofErr w:type="gramEnd"/>
      <w:r>
        <w:t>;</w:t>
      </w:r>
    </w:p>
    <w:p w:rsidR="00CE3F58" w:rsidRDefault="00CE3F58">
      <w:pPr>
        <w:pStyle w:val="ConsPlusNormal"/>
        <w:spacing w:before="220"/>
        <w:ind w:firstLine="540"/>
        <w:jc w:val="both"/>
      </w:pPr>
      <w:r>
        <w:t xml:space="preserve">в </w:t>
      </w:r>
      <w:hyperlink r:id="rId11">
        <w:r>
          <w:rPr>
            <w:color w:val="0000FF"/>
          </w:rPr>
          <w:t>пункте 2.1</w:t>
        </w:r>
      </w:hyperlink>
      <w:r>
        <w:t>:</w:t>
      </w:r>
    </w:p>
    <w:p w:rsidR="00CE3F58" w:rsidRDefault="00CE3F58">
      <w:pPr>
        <w:pStyle w:val="ConsPlusNormal"/>
        <w:spacing w:before="220"/>
        <w:ind w:firstLine="540"/>
        <w:jc w:val="both"/>
      </w:pPr>
      <w:hyperlink r:id="rId12">
        <w:r>
          <w:rPr>
            <w:color w:val="0000FF"/>
          </w:rPr>
          <w:t>подпункт 4</w:t>
        </w:r>
      </w:hyperlink>
      <w:r>
        <w:t xml:space="preserve"> дополнить словами ", а также при определении объема бюджетного кредита в соответствии с пунктом 9 настоящего Порядка";</w:t>
      </w:r>
    </w:p>
    <w:p w:rsidR="00CE3F58" w:rsidRDefault="00CE3F58">
      <w:pPr>
        <w:pStyle w:val="ConsPlusNormal"/>
        <w:spacing w:before="220"/>
        <w:ind w:firstLine="540"/>
        <w:jc w:val="both"/>
      </w:pPr>
      <w:hyperlink r:id="rId13">
        <w:r>
          <w:rPr>
            <w:color w:val="0000FF"/>
          </w:rPr>
          <w:t>дополнить</w:t>
        </w:r>
      </w:hyperlink>
      <w:r>
        <w:t xml:space="preserve"> подпунктом 11 следующего содержания:</w:t>
      </w:r>
    </w:p>
    <w:p w:rsidR="00CE3F58" w:rsidRDefault="00CE3F58">
      <w:pPr>
        <w:pStyle w:val="ConsPlusNormal"/>
        <w:spacing w:before="220"/>
        <w:ind w:firstLine="540"/>
        <w:jc w:val="both"/>
      </w:pPr>
      <w:proofErr w:type="gramStart"/>
      <w:r>
        <w:t>"11) снижение объема налоговых и неналоговых доходов местного бюджета по состоянию на первое число месяца, в котором представлена заявка на получение бюджетного кредита, более чем на 20% по сравнению с аналогичным периодом 2022 года (в случае предоставления муниципальному образованию бюджетного кредита в целях покрытия временных кассовых разрывов, возникающих при исполнении местных бюджетов, на срок до 90 календарных дней).";</w:t>
      </w:r>
      <w:proofErr w:type="gramEnd"/>
    </w:p>
    <w:p w:rsidR="00CE3F58" w:rsidRDefault="00CE3F58">
      <w:pPr>
        <w:pStyle w:val="ConsPlusNormal"/>
        <w:spacing w:before="220"/>
        <w:ind w:firstLine="540"/>
        <w:jc w:val="both"/>
      </w:pPr>
      <w:hyperlink r:id="rId14">
        <w:r>
          <w:rPr>
            <w:color w:val="0000FF"/>
          </w:rPr>
          <w:t>абзац четвертый пункта 2.2</w:t>
        </w:r>
      </w:hyperlink>
      <w:r>
        <w:t xml:space="preserve"> после слов "без учета субвенций" дополнить словами "и субсидий";</w:t>
      </w:r>
    </w:p>
    <w:p w:rsidR="00CE3F58" w:rsidRDefault="00CE3F58">
      <w:pPr>
        <w:pStyle w:val="ConsPlusNormal"/>
        <w:spacing w:before="220"/>
        <w:ind w:firstLine="540"/>
        <w:jc w:val="both"/>
      </w:pPr>
      <w:r>
        <w:t xml:space="preserve">пункт 3 после </w:t>
      </w:r>
      <w:hyperlink r:id="rId15">
        <w:r>
          <w:rPr>
            <w:color w:val="0000FF"/>
          </w:rPr>
          <w:t>абзаца семнадцатого</w:t>
        </w:r>
      </w:hyperlink>
      <w:r>
        <w:t xml:space="preserve"> дополнить абзацами следующего содержания:</w:t>
      </w:r>
    </w:p>
    <w:p w:rsidR="00CE3F58" w:rsidRDefault="00CE3F58">
      <w:pPr>
        <w:pStyle w:val="ConsPlusNormal"/>
        <w:spacing w:before="220"/>
        <w:ind w:firstLine="540"/>
        <w:jc w:val="both"/>
      </w:pPr>
      <w:proofErr w:type="gramStart"/>
      <w:r>
        <w:t xml:space="preserve">"письменное согласие муниципального образования о принятии обязательства по возложению персональной ответственности на должностных лиц органов местного самоуправления, чьи действия (бездействие) привели к нарушению обязательства, указанного в </w:t>
      </w:r>
      <w:r>
        <w:lastRenderedPageBreak/>
        <w:t>абзаце пятом пункта 14 настоящего Порядка (в случае предоставления муниципальному образованию бюджетного кредита в целях покрытия временных кассовых разрывов, возникающих при исполнении местных бюджетов, на срок до 90 календарных дней при соблюдении условия, установленного</w:t>
      </w:r>
      <w:proofErr w:type="gramEnd"/>
      <w:r>
        <w:t xml:space="preserve"> подпунктом 11 пункта 2.1 настоящего Порядка);</w:t>
      </w:r>
    </w:p>
    <w:p w:rsidR="00CE3F58" w:rsidRDefault="00CE3F58">
      <w:pPr>
        <w:pStyle w:val="ConsPlusNormal"/>
        <w:spacing w:before="220"/>
        <w:ind w:firstLine="540"/>
        <w:jc w:val="both"/>
      </w:pPr>
      <w:proofErr w:type="gramStart"/>
      <w:r>
        <w:t>информацию о снижении объема налоговых и неналоговых доходов местного бюджета по состоянию на первое число месяца, в котором представлена заявка на получение бюджетного кредита, более чем на 20% по сравнению с аналогичным периодом 2022 года (в случае предоставления муниципальному образованию бюджетного кредита в целях покрытия временных кассовых разрывов, возникающих при исполнении местных бюджетов, на срок до 90 календарных дней при</w:t>
      </w:r>
      <w:proofErr w:type="gramEnd"/>
      <w:r>
        <w:t xml:space="preserve"> </w:t>
      </w:r>
      <w:proofErr w:type="gramStart"/>
      <w:r>
        <w:t>соблюдении</w:t>
      </w:r>
      <w:proofErr w:type="gramEnd"/>
      <w:r>
        <w:t xml:space="preserve"> условия, установленного подпунктом 11 пункта 2.1 настоящего Порядка).";</w:t>
      </w:r>
    </w:p>
    <w:p w:rsidR="00CE3F58" w:rsidRDefault="00CE3F58">
      <w:pPr>
        <w:pStyle w:val="ConsPlusNormal"/>
        <w:spacing w:before="220"/>
        <w:ind w:firstLine="540"/>
        <w:jc w:val="both"/>
      </w:pPr>
      <w:r>
        <w:t xml:space="preserve">в </w:t>
      </w:r>
      <w:hyperlink r:id="rId16">
        <w:r>
          <w:rPr>
            <w:color w:val="0000FF"/>
          </w:rPr>
          <w:t>пункте 8</w:t>
        </w:r>
      </w:hyperlink>
      <w:r>
        <w:t>:</w:t>
      </w:r>
    </w:p>
    <w:p w:rsidR="00CE3F58" w:rsidRDefault="00CE3F58">
      <w:pPr>
        <w:pStyle w:val="ConsPlusNormal"/>
        <w:spacing w:before="220"/>
        <w:ind w:firstLine="540"/>
        <w:jc w:val="both"/>
      </w:pPr>
      <w:hyperlink r:id="rId17">
        <w:r>
          <w:rPr>
            <w:color w:val="0000FF"/>
          </w:rPr>
          <w:t>подпункт 3</w:t>
        </w:r>
      </w:hyperlink>
      <w:r>
        <w:t xml:space="preserve"> изложить в следующей редакции:</w:t>
      </w:r>
    </w:p>
    <w:p w:rsidR="00CE3F58" w:rsidRDefault="00CE3F58">
      <w:pPr>
        <w:pStyle w:val="ConsPlusNormal"/>
        <w:spacing w:before="220"/>
        <w:ind w:firstLine="540"/>
        <w:jc w:val="both"/>
      </w:pPr>
      <w:r>
        <w:t>"3) 35% объема лимитов бюджетных ассигнований, предусмотренных законом Самарской области об областном бюджете на текущий финансовый год на предоставление бюджетных кредитов местным бюджетам на сроки, выходящие за пределы финансового года, или на сроки, не выходящие за пределы финансового года, соответственно</w:t>
      </w:r>
      <w:proofErr w:type="gramStart"/>
      <w:r>
        <w:t>;"</w:t>
      </w:r>
      <w:proofErr w:type="gramEnd"/>
      <w:r>
        <w:t>;</w:t>
      </w:r>
    </w:p>
    <w:p w:rsidR="00CE3F58" w:rsidRDefault="00CE3F58">
      <w:pPr>
        <w:pStyle w:val="ConsPlusNormal"/>
        <w:spacing w:before="220"/>
        <w:ind w:firstLine="540"/>
        <w:jc w:val="both"/>
      </w:pPr>
      <w:hyperlink r:id="rId18">
        <w:r>
          <w:rPr>
            <w:color w:val="0000FF"/>
          </w:rPr>
          <w:t>подпункт 4</w:t>
        </w:r>
      </w:hyperlink>
      <w:r>
        <w:t xml:space="preserve"> дополнить словами ", на сроки, выходящие за пределы финансового года, или на сроки, не выходящие за пределы финансового года, соответственно";</w:t>
      </w:r>
    </w:p>
    <w:p w:rsidR="00CE3F58" w:rsidRDefault="00CE3F58">
      <w:pPr>
        <w:pStyle w:val="ConsPlusNormal"/>
        <w:spacing w:before="220"/>
        <w:ind w:firstLine="540"/>
        <w:jc w:val="both"/>
      </w:pPr>
      <w:r>
        <w:t xml:space="preserve">в </w:t>
      </w:r>
      <w:hyperlink r:id="rId19">
        <w:r>
          <w:rPr>
            <w:color w:val="0000FF"/>
          </w:rPr>
          <w:t>пункте 13</w:t>
        </w:r>
      </w:hyperlink>
      <w:r>
        <w:t>:</w:t>
      </w:r>
    </w:p>
    <w:p w:rsidR="00CE3F58" w:rsidRDefault="00CE3F58">
      <w:pPr>
        <w:pStyle w:val="ConsPlusNormal"/>
        <w:spacing w:before="220"/>
        <w:ind w:firstLine="540"/>
        <w:jc w:val="both"/>
      </w:pPr>
      <w:r>
        <w:t xml:space="preserve">в </w:t>
      </w:r>
      <w:hyperlink r:id="rId20">
        <w:r>
          <w:rPr>
            <w:color w:val="0000FF"/>
          </w:rPr>
          <w:t>абзаце втором</w:t>
        </w:r>
      </w:hyperlink>
      <w:r>
        <w:t xml:space="preserve"> цифру "2," исключить;</w:t>
      </w:r>
    </w:p>
    <w:p w:rsidR="00CE3F58" w:rsidRDefault="00CE3F58">
      <w:pPr>
        <w:pStyle w:val="ConsPlusNormal"/>
        <w:spacing w:before="220"/>
        <w:ind w:firstLine="540"/>
        <w:jc w:val="both"/>
      </w:pPr>
      <w:r>
        <w:t xml:space="preserve">после </w:t>
      </w:r>
      <w:hyperlink r:id="rId21">
        <w:r>
          <w:rPr>
            <w:color w:val="0000FF"/>
          </w:rPr>
          <w:t>абзаца второго</w:t>
        </w:r>
      </w:hyperlink>
      <w:r>
        <w:t xml:space="preserve"> дополнить абзацем следующего содержания:</w:t>
      </w:r>
    </w:p>
    <w:p w:rsidR="00CE3F58" w:rsidRDefault="00CE3F58">
      <w:pPr>
        <w:pStyle w:val="ConsPlusNormal"/>
        <w:spacing w:before="220"/>
        <w:ind w:firstLine="540"/>
        <w:jc w:val="both"/>
      </w:pPr>
      <w:r>
        <w:t>"не соблюдено условие, установленное подпунктом 11 пункта 2.1 настоящего Порядка</w:t>
      </w:r>
      <w:proofErr w:type="gramStart"/>
      <w:r>
        <w:t>;"</w:t>
      </w:r>
      <w:proofErr w:type="gramEnd"/>
      <w:r>
        <w:t>;</w:t>
      </w:r>
    </w:p>
    <w:p w:rsidR="00CE3F58" w:rsidRDefault="00CE3F58">
      <w:pPr>
        <w:pStyle w:val="ConsPlusNormal"/>
        <w:spacing w:before="220"/>
        <w:ind w:firstLine="540"/>
        <w:jc w:val="both"/>
      </w:pPr>
      <w:r>
        <w:t xml:space="preserve">пункт 14 после </w:t>
      </w:r>
      <w:hyperlink r:id="rId22">
        <w:r>
          <w:rPr>
            <w:color w:val="0000FF"/>
          </w:rPr>
          <w:t>абзаца третьего</w:t>
        </w:r>
      </w:hyperlink>
      <w:r>
        <w:t xml:space="preserve"> дополнить абзацами следующего содержания:</w:t>
      </w:r>
    </w:p>
    <w:p w:rsidR="00CE3F58" w:rsidRDefault="00CE3F58">
      <w:pPr>
        <w:pStyle w:val="ConsPlusNormal"/>
        <w:spacing w:before="220"/>
        <w:ind w:firstLine="540"/>
        <w:jc w:val="both"/>
      </w:pPr>
      <w:r>
        <w:t>"В случае предоставления муниципальному образованию бюджетного кредита в целях покрытия временных кассовых разрывов, возникающих при исполнении местных бюджетов, на срок до 90 календарных дней при соблюдении условия, установленного подпунктом 11 пункта 2.1 настоящего Порядка:</w:t>
      </w:r>
    </w:p>
    <w:p w:rsidR="00CE3F58" w:rsidRDefault="00CE3F58">
      <w:pPr>
        <w:pStyle w:val="ConsPlusNormal"/>
        <w:spacing w:before="220"/>
        <w:ind w:firstLine="540"/>
        <w:jc w:val="both"/>
      </w:pPr>
      <w:r>
        <w:t>муниципальное образование принимает обязательство, подлежащее включению в договор о предоставлении бюджетного кредита, по обеспечению возможности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CE3F58" w:rsidRDefault="00CE3F58">
      <w:pPr>
        <w:pStyle w:val="ConsPlusNormal"/>
        <w:spacing w:before="220"/>
        <w:ind w:firstLine="540"/>
        <w:jc w:val="both"/>
      </w:pPr>
      <w:r>
        <w:t>неисполнение муниципальным образованием обязательства, предусмотренного абзацем пятым настоящего пункта, влечет применение к должностным лицам органов местного самоуправления, чьи действия (бездействие) привели к нарушению указанного обязательства, мер дисциплинарной ответственности в соответствии с законодательством Российской Федерации</w:t>
      </w:r>
      <w:proofErr w:type="gramStart"/>
      <w:r>
        <w:t>.".</w:t>
      </w:r>
      <w:proofErr w:type="gramEnd"/>
    </w:p>
    <w:p w:rsidR="00CE3F58" w:rsidRDefault="00CE3F58">
      <w:pPr>
        <w:pStyle w:val="ConsPlusNormal"/>
        <w:spacing w:before="220"/>
        <w:ind w:firstLine="540"/>
        <w:jc w:val="both"/>
      </w:pPr>
      <w:r>
        <w:t xml:space="preserve">2. </w:t>
      </w:r>
      <w:proofErr w:type="gramStart"/>
      <w:r>
        <w:t xml:space="preserve">Установить, что </w:t>
      </w:r>
      <w:hyperlink r:id="rId23">
        <w:r>
          <w:rPr>
            <w:color w:val="0000FF"/>
          </w:rPr>
          <w:t>подпункты 3</w:t>
        </w:r>
      </w:hyperlink>
      <w:r>
        <w:t xml:space="preserve"> и </w:t>
      </w:r>
      <w:hyperlink r:id="rId24">
        <w:r>
          <w:rPr>
            <w:color w:val="0000FF"/>
          </w:rPr>
          <w:t>6 пункта 2.1</w:t>
        </w:r>
      </w:hyperlink>
      <w:r>
        <w:t xml:space="preserve"> Порядка предоставления, использования и возврата бюджетных кредитов из областного бюджета местным бюджетам, утвержденного постановлением Правительства Самарской области от 20.01.2016 N 14, не подлежат применению в случае предоставления муниципальному образованию бюджетного кредита в целях покрытия </w:t>
      </w:r>
      <w:r>
        <w:lastRenderedPageBreak/>
        <w:t>временных кассовых разрывов, возникающих при исполнении местных бюджетов, на срок до 90 календарных дней при соблюдении условия, установленного</w:t>
      </w:r>
      <w:proofErr w:type="gramEnd"/>
      <w:r>
        <w:t xml:space="preserve"> </w:t>
      </w:r>
      <w:hyperlink r:id="rId25">
        <w:r>
          <w:rPr>
            <w:color w:val="0000FF"/>
          </w:rPr>
          <w:t>подпунктом 11 пункта 2.1</w:t>
        </w:r>
      </w:hyperlink>
      <w:r>
        <w:t xml:space="preserve"> указанного Порядка.</w:t>
      </w:r>
    </w:p>
    <w:p w:rsidR="00CE3F58" w:rsidRDefault="00CE3F58">
      <w:pPr>
        <w:pStyle w:val="ConsPlusNormal"/>
        <w:spacing w:before="220"/>
        <w:ind w:firstLine="540"/>
        <w:jc w:val="both"/>
      </w:pPr>
      <w:r>
        <w:t xml:space="preserve">3. </w:t>
      </w:r>
      <w:proofErr w:type="gramStart"/>
      <w:r>
        <w:t xml:space="preserve">Установить, что </w:t>
      </w:r>
      <w:hyperlink r:id="rId26">
        <w:r>
          <w:rPr>
            <w:color w:val="0000FF"/>
          </w:rPr>
          <w:t>абзац пятый пункта 2</w:t>
        </w:r>
      </w:hyperlink>
      <w:r>
        <w:t xml:space="preserve">, </w:t>
      </w:r>
      <w:hyperlink r:id="rId27">
        <w:r>
          <w:rPr>
            <w:color w:val="0000FF"/>
          </w:rPr>
          <w:t>подпункт 11 пункта 2.1</w:t>
        </w:r>
      </w:hyperlink>
      <w:r>
        <w:t xml:space="preserve">, </w:t>
      </w:r>
      <w:hyperlink r:id="rId28">
        <w:r>
          <w:rPr>
            <w:color w:val="0000FF"/>
          </w:rPr>
          <w:t>абзацы восемнадцатый</w:t>
        </w:r>
      </w:hyperlink>
      <w:r>
        <w:t xml:space="preserve"> и </w:t>
      </w:r>
      <w:hyperlink r:id="rId29">
        <w:r>
          <w:rPr>
            <w:color w:val="0000FF"/>
          </w:rPr>
          <w:t>девятнадцатый пункта 3</w:t>
        </w:r>
      </w:hyperlink>
      <w:r>
        <w:t xml:space="preserve">, </w:t>
      </w:r>
      <w:hyperlink r:id="rId30">
        <w:r>
          <w:rPr>
            <w:color w:val="0000FF"/>
          </w:rPr>
          <w:t>абзац третий пункта 13</w:t>
        </w:r>
      </w:hyperlink>
      <w:r>
        <w:t xml:space="preserve"> и абзацы с </w:t>
      </w:r>
      <w:hyperlink r:id="rId31">
        <w:r>
          <w:rPr>
            <w:color w:val="0000FF"/>
          </w:rPr>
          <w:t>четвертого</w:t>
        </w:r>
      </w:hyperlink>
      <w:r>
        <w:t xml:space="preserve"> по </w:t>
      </w:r>
      <w:hyperlink r:id="rId32">
        <w:r>
          <w:rPr>
            <w:color w:val="0000FF"/>
          </w:rPr>
          <w:t>шестой пункта 14</w:t>
        </w:r>
      </w:hyperlink>
      <w:r>
        <w:t xml:space="preserve"> Порядка предоставления, использования и возврата бюджетных кредитов из областного бюджета местным бюджетам, утвержденного постановлением Правительства Самарской области от 20.01.2016 N 14, в редакции настоящего Постановления действуют до 31.12.2023 включительно.</w:t>
      </w:r>
      <w:proofErr w:type="gramEnd"/>
    </w:p>
    <w:p w:rsidR="00CE3F58" w:rsidRDefault="00CE3F58">
      <w:pPr>
        <w:pStyle w:val="ConsPlusNormal"/>
        <w:spacing w:before="220"/>
        <w:ind w:firstLine="540"/>
        <w:jc w:val="both"/>
      </w:pPr>
      <w:r>
        <w:t>4. Опубликовать настоящее Постановление в средствах массовой информации и на официальном сайте Правительства Самарской области в информационно-телекоммуникационной сети Интернет.</w:t>
      </w:r>
    </w:p>
    <w:p w:rsidR="00CE3F58" w:rsidRDefault="00CE3F58">
      <w:pPr>
        <w:pStyle w:val="ConsPlusNormal"/>
        <w:spacing w:before="220"/>
        <w:ind w:firstLine="540"/>
        <w:jc w:val="both"/>
      </w:pPr>
      <w:r>
        <w:t>5. Настоящее Постановление вступает в силу со дня его официального опубликования.</w:t>
      </w:r>
    </w:p>
    <w:p w:rsidR="00CE3F58" w:rsidRDefault="00CE3F58">
      <w:pPr>
        <w:pStyle w:val="ConsPlusNormal"/>
        <w:jc w:val="both"/>
      </w:pPr>
    </w:p>
    <w:p w:rsidR="00CE3F58" w:rsidRDefault="00CE3F58">
      <w:pPr>
        <w:pStyle w:val="ConsPlusNormal"/>
        <w:jc w:val="right"/>
      </w:pPr>
      <w:r>
        <w:t>Первый вице-губернатор - председатель</w:t>
      </w:r>
    </w:p>
    <w:p w:rsidR="00CE3F58" w:rsidRDefault="00CE3F58">
      <w:pPr>
        <w:pStyle w:val="ConsPlusNormal"/>
        <w:jc w:val="right"/>
      </w:pPr>
      <w:r>
        <w:t>Правительства Самарской области</w:t>
      </w:r>
    </w:p>
    <w:p w:rsidR="00CE3F58" w:rsidRDefault="00CE3F58">
      <w:pPr>
        <w:pStyle w:val="ConsPlusNormal"/>
        <w:jc w:val="right"/>
      </w:pPr>
      <w:r>
        <w:t>В.В.КУДРЯШОВ</w:t>
      </w:r>
    </w:p>
    <w:p w:rsidR="00CE3F58" w:rsidRDefault="00CE3F58">
      <w:pPr>
        <w:pStyle w:val="ConsPlusNormal"/>
        <w:jc w:val="both"/>
      </w:pPr>
    </w:p>
    <w:p w:rsidR="00CE3F58" w:rsidRDefault="00CE3F58">
      <w:pPr>
        <w:pStyle w:val="ConsPlusNormal"/>
        <w:jc w:val="both"/>
      </w:pPr>
    </w:p>
    <w:p w:rsidR="00CE3F58" w:rsidRDefault="00CE3F58">
      <w:pPr>
        <w:pStyle w:val="ConsPlusNormal"/>
        <w:pBdr>
          <w:bottom w:val="single" w:sz="6" w:space="0" w:color="auto"/>
        </w:pBdr>
        <w:spacing w:before="100" w:after="100"/>
        <w:jc w:val="both"/>
        <w:rPr>
          <w:sz w:val="2"/>
          <w:szCs w:val="2"/>
        </w:rPr>
      </w:pPr>
    </w:p>
    <w:p w:rsidR="0055420B" w:rsidRDefault="0055420B"/>
    <w:sectPr w:rsidR="0055420B" w:rsidSect="0048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CE3F58"/>
    <w:rsid w:val="00095E64"/>
    <w:rsid w:val="00101F10"/>
    <w:rsid w:val="0055420B"/>
    <w:rsid w:val="0056711B"/>
    <w:rsid w:val="0084782E"/>
    <w:rsid w:val="00C722B8"/>
    <w:rsid w:val="00CE3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F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3F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3F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57232&amp;dst=100154" TargetMode="External"/><Relationship Id="rId13" Type="http://schemas.openxmlformats.org/officeDocument/2006/relationships/hyperlink" Target="https://login.consultant.ru/link/?req=doc&amp;base=RLAW256&amp;n=157232&amp;dst=100103" TargetMode="External"/><Relationship Id="rId18" Type="http://schemas.openxmlformats.org/officeDocument/2006/relationships/hyperlink" Target="https://login.consultant.ru/link/?req=doc&amp;base=RLAW256&amp;n=157232&amp;dst=100058" TargetMode="External"/><Relationship Id="rId26" Type="http://schemas.openxmlformats.org/officeDocument/2006/relationships/hyperlink" Target="https://login.consultant.ru/link/?req=doc&amp;base=RLAW256&amp;n=174649&amp;dst=100225" TargetMode="External"/><Relationship Id="rId3" Type="http://schemas.openxmlformats.org/officeDocument/2006/relationships/webSettings" Target="webSettings.xml"/><Relationship Id="rId21" Type="http://schemas.openxmlformats.org/officeDocument/2006/relationships/hyperlink" Target="https://login.consultant.ru/link/?req=doc&amp;base=RLAW256&amp;n=157232&amp;dst=100153" TargetMode="External"/><Relationship Id="rId34" Type="http://schemas.openxmlformats.org/officeDocument/2006/relationships/theme" Target="theme/theme1.xml"/><Relationship Id="rId7" Type="http://schemas.openxmlformats.org/officeDocument/2006/relationships/hyperlink" Target="https://login.consultant.ru/link/?req=doc&amp;base=RLAW256&amp;n=157232&amp;dst=100010" TargetMode="External"/><Relationship Id="rId12" Type="http://schemas.openxmlformats.org/officeDocument/2006/relationships/hyperlink" Target="https://login.consultant.ru/link/?req=doc&amp;base=RLAW256&amp;n=157232&amp;dst=100107" TargetMode="External"/><Relationship Id="rId17" Type="http://schemas.openxmlformats.org/officeDocument/2006/relationships/hyperlink" Target="https://login.consultant.ru/link/?req=doc&amp;base=RLAW256&amp;n=157232&amp;dst=100057" TargetMode="External"/><Relationship Id="rId25" Type="http://schemas.openxmlformats.org/officeDocument/2006/relationships/hyperlink" Target="https://login.consultant.ru/link/?req=doc&amp;base=RLAW256&amp;n=169860&amp;dst=10022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256&amp;n=157232&amp;dst=100054" TargetMode="External"/><Relationship Id="rId20" Type="http://schemas.openxmlformats.org/officeDocument/2006/relationships/hyperlink" Target="https://login.consultant.ru/link/?req=doc&amp;base=RLAW256&amp;n=157232&amp;dst=100153" TargetMode="External"/><Relationship Id="rId29" Type="http://schemas.openxmlformats.org/officeDocument/2006/relationships/hyperlink" Target="https://login.consultant.ru/link/?req=doc&amp;base=RLAW256&amp;n=174649&amp;dst=100231" TargetMode="External"/><Relationship Id="rId1" Type="http://schemas.openxmlformats.org/officeDocument/2006/relationships/styles" Target="styles.xml"/><Relationship Id="rId6" Type="http://schemas.openxmlformats.org/officeDocument/2006/relationships/hyperlink" Target="https://login.consultant.ru/link/?req=doc&amp;base=RLAW256&amp;n=157232" TargetMode="External"/><Relationship Id="rId11" Type="http://schemas.openxmlformats.org/officeDocument/2006/relationships/hyperlink" Target="https://login.consultant.ru/link/?req=doc&amp;base=RLAW256&amp;n=157232&amp;dst=100103" TargetMode="External"/><Relationship Id="rId24" Type="http://schemas.openxmlformats.org/officeDocument/2006/relationships/hyperlink" Target="https://login.consultant.ru/link/?req=doc&amp;base=RLAW256&amp;n=174649&amp;dst=100180" TargetMode="External"/><Relationship Id="rId32" Type="http://schemas.openxmlformats.org/officeDocument/2006/relationships/hyperlink" Target="https://login.consultant.ru/link/?req=doc&amp;base=RLAW256&amp;n=174649&amp;dst=100238" TargetMode="External"/><Relationship Id="rId5" Type="http://schemas.openxmlformats.org/officeDocument/2006/relationships/hyperlink" Target="https://login.consultant.ru/link/?req=doc&amp;base=LAW&amp;n=432230&amp;dst=1540" TargetMode="External"/><Relationship Id="rId15" Type="http://schemas.openxmlformats.org/officeDocument/2006/relationships/hyperlink" Target="https://login.consultant.ru/link/?req=doc&amp;base=RLAW256&amp;n=157232&amp;dst=2" TargetMode="External"/><Relationship Id="rId23" Type="http://schemas.openxmlformats.org/officeDocument/2006/relationships/hyperlink" Target="https://login.consultant.ru/link/?req=doc&amp;base=RLAW256&amp;n=174649&amp;dst=100200" TargetMode="External"/><Relationship Id="rId28" Type="http://schemas.openxmlformats.org/officeDocument/2006/relationships/hyperlink" Target="https://login.consultant.ru/link/?req=doc&amp;base=RLAW256&amp;n=174649&amp;dst=100230" TargetMode="External"/><Relationship Id="rId10" Type="http://schemas.openxmlformats.org/officeDocument/2006/relationships/hyperlink" Target="https://login.consultant.ru/link/?req=doc&amp;base=RLAW256&amp;n=157232&amp;dst=100155" TargetMode="External"/><Relationship Id="rId19" Type="http://schemas.openxmlformats.org/officeDocument/2006/relationships/hyperlink" Target="https://login.consultant.ru/link/?req=doc&amp;base=RLAW256&amp;n=157232&amp;dst=100123" TargetMode="External"/><Relationship Id="rId31" Type="http://schemas.openxmlformats.org/officeDocument/2006/relationships/hyperlink" Target="https://login.consultant.ru/link/?req=doc&amp;base=RLAW256&amp;n=174649&amp;dst=1002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57232&amp;dst=100155" TargetMode="External"/><Relationship Id="rId14" Type="http://schemas.openxmlformats.org/officeDocument/2006/relationships/hyperlink" Target="https://login.consultant.ru/link/?req=doc&amp;base=RLAW256&amp;n=157232&amp;dst=100162" TargetMode="External"/><Relationship Id="rId22" Type="http://schemas.openxmlformats.org/officeDocument/2006/relationships/hyperlink" Target="https://login.consultant.ru/link/?req=doc&amp;base=RLAW256&amp;n=157232&amp;dst=3" TargetMode="External"/><Relationship Id="rId27" Type="http://schemas.openxmlformats.org/officeDocument/2006/relationships/hyperlink" Target="https://login.consultant.ru/link/?req=doc&amp;base=RLAW256&amp;n=174649&amp;dst=100227" TargetMode="External"/><Relationship Id="rId30" Type="http://schemas.openxmlformats.org/officeDocument/2006/relationships/hyperlink" Target="https://login.consultant.ru/link/?req=doc&amp;base=RLAW256&amp;n=174649&amp;dst=1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7439</Characters>
  <Application>Microsoft Office Word</Application>
  <DocSecurity>0</DocSecurity>
  <Lines>61</Lines>
  <Paragraphs>17</Paragraphs>
  <ScaleCrop>false</ScaleCrop>
  <Company>Reanimator Extreme Edition</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2024-04-25T12:18:00Z</dcterms:created>
  <dcterms:modified xsi:type="dcterms:W3CDTF">2024-04-25T12:18:00Z</dcterms:modified>
</cp:coreProperties>
</file>