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8A" w:rsidRDefault="0063338A">
      <w:pPr>
        <w:pStyle w:val="ConsPlusTitlePage"/>
      </w:pPr>
      <w:r>
        <w:br/>
      </w:r>
    </w:p>
    <w:p w:rsidR="0063338A" w:rsidRDefault="0063338A">
      <w:pPr>
        <w:pStyle w:val="ConsPlusNormal"/>
        <w:jc w:val="both"/>
        <w:outlineLvl w:val="0"/>
      </w:pPr>
    </w:p>
    <w:p w:rsidR="0063338A" w:rsidRDefault="0063338A">
      <w:pPr>
        <w:pStyle w:val="ConsPlusTitle"/>
        <w:jc w:val="center"/>
      </w:pPr>
      <w:r>
        <w:t>МИНИСТЕРСТВО УПРАВЛЕНИЯ ФИНАНСАМИ</w:t>
      </w:r>
    </w:p>
    <w:p w:rsidR="0063338A" w:rsidRDefault="0063338A">
      <w:pPr>
        <w:pStyle w:val="ConsPlusTitle"/>
        <w:jc w:val="center"/>
      </w:pPr>
      <w:r>
        <w:t>САМАРСКОЙ ОБЛАСТИ</w:t>
      </w:r>
    </w:p>
    <w:p w:rsidR="0063338A" w:rsidRDefault="0063338A">
      <w:pPr>
        <w:pStyle w:val="ConsPlusTitle"/>
        <w:jc w:val="center"/>
      </w:pPr>
    </w:p>
    <w:p w:rsidR="0063338A" w:rsidRDefault="0063338A">
      <w:pPr>
        <w:pStyle w:val="ConsPlusTitle"/>
        <w:jc w:val="center"/>
      </w:pPr>
      <w:r>
        <w:t>ПРИКАЗ</w:t>
      </w:r>
    </w:p>
    <w:p w:rsidR="0063338A" w:rsidRDefault="0063338A">
      <w:pPr>
        <w:pStyle w:val="ConsPlusTitle"/>
        <w:jc w:val="center"/>
      </w:pPr>
      <w:r>
        <w:t>от 20 января 2020 г. N 01-07/5</w:t>
      </w:r>
    </w:p>
    <w:p w:rsidR="0063338A" w:rsidRDefault="0063338A">
      <w:pPr>
        <w:pStyle w:val="ConsPlusTitle"/>
        <w:jc w:val="center"/>
      </w:pPr>
    </w:p>
    <w:p w:rsidR="0063338A" w:rsidRDefault="0063338A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63338A" w:rsidRDefault="0063338A">
      <w:pPr>
        <w:pStyle w:val="ConsPlusTitle"/>
        <w:jc w:val="center"/>
      </w:pPr>
      <w:r>
        <w:t>УПРАВЛЕНИЯ ФИНАНСАМИ САМАРСКОЙ ОБЛАСТИ</w:t>
      </w:r>
    </w:p>
    <w:p w:rsidR="0063338A" w:rsidRDefault="0063338A">
      <w:pPr>
        <w:pStyle w:val="ConsPlusNormal"/>
        <w:jc w:val="both"/>
      </w:pPr>
    </w:p>
    <w:p w:rsidR="0063338A" w:rsidRDefault="0063338A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19.05.2014 N 01-07/25 "Об утверждении Порядка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области" следующие изменения:</w:t>
      </w:r>
    </w:p>
    <w:p w:rsidR="0063338A" w:rsidRDefault="0063338A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"Об утверждении Порядка осуществления кассовых выплат за счет средств некоммерческих организаций, образованных в организационно-правовой форме фонда";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преамбуле</w:t>
        </w:r>
      </w:hyperlink>
      <w:r>
        <w:t xml:space="preserve"> после слов "расположенных на территории Самарской области"</w:t>
      </w:r>
      <w:proofErr w:type="gramStart"/>
      <w:r>
        <w:t>,"</w:t>
      </w:r>
      <w:proofErr w:type="gramEnd"/>
      <w:r>
        <w:t xml:space="preserve"> дополнить словами "</w:t>
      </w:r>
      <w:hyperlink r:id="rId8" w:history="1">
        <w:r>
          <w:rPr>
            <w:color w:val="0000FF"/>
          </w:rPr>
          <w:t>Законом</w:t>
        </w:r>
      </w:hyperlink>
      <w:r>
        <w:t xml:space="preserve"> Самарской области от 11.02.2004 N 10-ГД "О промышленной политике в Самарской области",";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1</w:t>
        </w:r>
      </w:hyperlink>
      <w:r>
        <w:t xml:space="preserve"> слова "Порядок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области" заменить словами "Порядок осуществления кассовых выплат за счет средств некоммерческих организаций, образованных в организационно-правовой форме фонда";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Порядке</w:t>
        </w:r>
      </w:hyperlink>
      <w:r>
        <w:t xml:space="preserve">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области:</w:t>
      </w:r>
    </w:p>
    <w:p w:rsidR="0063338A" w:rsidRDefault="0063338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"Порядок осуществления кассовых выплат за счет средств некоммерческих организаций, образованных в организационно-правовой форме фонда";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1.1</w:t>
        </w:r>
      </w:hyperlink>
      <w:r>
        <w:t>:</w:t>
      </w:r>
    </w:p>
    <w:p w:rsidR="0063338A" w:rsidRDefault="0063338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"Настоящий порядок определяет сроки и порядок взаимодействия структурных подразделений министерства управления финансами Самарской области (далее - министерство), некоммерческих организаций, образованных в организационно-правовой форме фонда,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органы исполнительной власти Самарской области, если возможность открытия лицевых счетов указанных организаций в финансовом органе субъекта Российской Федерации предусмотрена законодательством </w:t>
      </w:r>
      <w:r>
        <w:lastRenderedPageBreak/>
        <w:t xml:space="preserve">Российской Федерации (далее - фонд), при осуществлении кассовых выплат за счет средств указанных некоммерческих организаций, осуществляемых с лицевых счетов, открытых им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открытия и ведения лицевых счетов в министерстве управления финансами Самарской области, утвержденным приказом министерства от 13.12.2007 N 12-21/98.";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</w:t>
        </w:r>
      </w:hyperlink>
      <w:r>
        <w:t xml:space="preserve"> после слов "под региональным оператором" дополнить словами "системы капитального ремонта общего имущества в многоквартирных домах, расположенных на территории Самарской области (далее - региональный оператор)";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1.2</w:t>
        </w:r>
      </w:hyperlink>
      <w:r>
        <w:t>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первом</w:t>
        </w:r>
      </w:hyperlink>
      <w:r>
        <w:t xml:space="preserve"> слова "региональный оператор" заменить словом "фонд";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</w:t>
        </w:r>
      </w:hyperlink>
      <w:r>
        <w:t xml:space="preserve"> слова "региональному оператору" заменить словом "фонду";</w:t>
      </w:r>
    </w:p>
    <w:p w:rsidR="0063338A" w:rsidRDefault="0063338A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 3.5</w:t>
        </w:r>
      </w:hyperlink>
      <w:r>
        <w:t xml:space="preserve"> изложить в следующей редакции: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"3.5. В случае необходимости уточнения произведенного платежа региональный оператор представляет в управление </w:t>
      </w:r>
      <w:proofErr w:type="spellStart"/>
      <w:r>
        <w:t>предконтроля</w:t>
      </w:r>
      <w:proofErr w:type="spellEnd"/>
      <w:r>
        <w:t xml:space="preserve"> уведомление об уточнении произведенного платежа (далее - уведомление) согласно приложению 4 к настоящему Порядку.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Уведомление представляется посредством УРМ с использованием ЭП. </w:t>
      </w:r>
      <w:proofErr w:type="gramStart"/>
      <w:r>
        <w:t>В случае невозможности использования ЭП региональный оператор представляет уведомление в электронном виде, а также уведомление на бумажном носителе в двух экземплярах, подписанное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регионального оператора и заверенное</w:t>
      </w:r>
      <w:proofErr w:type="gramEnd"/>
      <w:r>
        <w:t xml:space="preserve"> оттиском его печати.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не позднее рабочего дня, следующего за днем представления уведомления, осуществляет визирование уведомления в случае соответствия его документам, указанным в абзаце третьем пункта 3.2 настоящего Порядка, и уточняемому платежному документу, и передает уведомление на рассмотрение управлению операционно-кассовой работы департамента исполнения областного бюджета и отчетности министерства (далее - управление операционно-кассовой работы). Управление операционно-кассовой работы в случае наличия свободного остатка соответствующих средств не позднее рабочего дня, следующего за днем получения от управления </w:t>
      </w:r>
      <w:proofErr w:type="spellStart"/>
      <w:r>
        <w:t>предконтроля</w:t>
      </w:r>
      <w:proofErr w:type="spellEnd"/>
      <w:r>
        <w:t xml:space="preserve"> уведомления, производит уточнение произведенного платежа.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Первый экземпляр уведомления в случае представления его на бумажном носителе остается в управлении операционно-кассовой работы, второй после уточнения платежа возвращается региональному оператору</w:t>
      </w:r>
      <w:proofErr w:type="gramStart"/>
      <w:r>
        <w:t>.";</w:t>
      </w:r>
    </w:p>
    <w:proofErr w:type="gramEnd"/>
    <w:p w:rsidR="0063338A" w:rsidRDefault="0063338A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"consultantplus://offline/ref=27574A3A516716382A9E1CA2736F862E147714FC3D228C8D99E148D4033D83C18DC26F4BF9644A518D3FDB9B88BB7FEA8DC8D6590B223F1FCD04EFk9x0G"</w:instrText>
      </w:r>
      <w:r>
        <w:fldChar w:fldCharType="separate"/>
      </w:r>
      <w:r>
        <w:rPr>
          <w:color w:val="0000FF"/>
        </w:rPr>
        <w:t>дополнить</w:t>
      </w:r>
      <w:r>
        <w:fldChar w:fldCharType="end"/>
      </w:r>
      <w:r>
        <w:t xml:space="preserve"> разделом 5, изложив его в следующей редакции:</w:t>
      </w:r>
    </w:p>
    <w:p w:rsidR="0063338A" w:rsidRDefault="0063338A">
      <w:pPr>
        <w:pStyle w:val="ConsPlusNormal"/>
        <w:jc w:val="both"/>
      </w:pPr>
    </w:p>
    <w:p w:rsidR="0063338A" w:rsidRDefault="0063338A">
      <w:pPr>
        <w:pStyle w:val="ConsPlusNormal"/>
        <w:jc w:val="center"/>
      </w:pPr>
      <w:r>
        <w:t>"5. Осуществление кассовых выплат за счет средств фонда,</w:t>
      </w:r>
    </w:p>
    <w:p w:rsidR="0063338A" w:rsidRDefault="0063338A">
      <w:pPr>
        <w:pStyle w:val="ConsPlusNormal"/>
        <w:jc w:val="center"/>
      </w:pPr>
      <w:r>
        <w:t xml:space="preserve">не </w:t>
      </w:r>
      <w:proofErr w:type="gramStart"/>
      <w:r>
        <w:t>являющегося</w:t>
      </w:r>
      <w:proofErr w:type="gramEnd"/>
      <w:r>
        <w:t xml:space="preserve"> региональным оператором</w:t>
      </w:r>
    </w:p>
    <w:p w:rsidR="0063338A" w:rsidRDefault="0063338A">
      <w:pPr>
        <w:pStyle w:val="ConsPlusNormal"/>
        <w:jc w:val="both"/>
      </w:pPr>
    </w:p>
    <w:p w:rsidR="0063338A" w:rsidRDefault="0063338A">
      <w:pPr>
        <w:pStyle w:val="ConsPlusNormal"/>
        <w:ind w:firstLine="540"/>
        <w:jc w:val="both"/>
      </w:pPr>
      <w:r>
        <w:t xml:space="preserve">5.1. В целях осуществления расходов фонд, не являющийся региональным оператором, представляет в управление </w:t>
      </w:r>
      <w:proofErr w:type="spellStart"/>
      <w:r>
        <w:t>предконтроля</w:t>
      </w:r>
      <w:proofErr w:type="spellEnd"/>
      <w:r>
        <w:t xml:space="preserve"> платежные поручения или заявки на получение наличных денег, созданные посредством УРМ с использованием ЭП.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Платежные поручения оформляются в соответствии с требованиями </w:t>
      </w:r>
      <w:hyperlink r:id="rId20" w:history="1">
        <w:r>
          <w:rPr>
            <w:color w:val="0000FF"/>
          </w:rPr>
          <w:t>приказа</w:t>
        </w:r>
      </w:hyperlink>
      <w:r>
        <w:t xml:space="preserve"> Федерального казначейства от 10.10.2008 N 8н.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Сумма платежного поручения и (или) заявки на получение наличных денег не должна </w:t>
      </w:r>
      <w:r>
        <w:lastRenderedPageBreak/>
        <w:t>превышать свободный остаток средств на лицевом счете фонда, не являющегося региональным оператором.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Свободный остаток средств на лицевом счете фонда, не являющегося региональным оператором, определяется как разница между объемом средств, отраженным на лицевом счете по соответствующему типу средств, и кассовым расходом по обязательствам фонда, не являющегося региональным оператором, с начала финансового года по соответствующему типу средств с учетом возврата средств.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случае невозможности использования ЭП фонд, не являющийся региональным оператором, представляет платежное поручение или заявку на получение наличных денег в электронном виде, а также платежное поручение или заявку на получение наличных денег на бумажном носителе в двух экземплярах, подписанное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</w:t>
      </w:r>
      <w:proofErr w:type="gramEnd"/>
      <w:r>
        <w:t xml:space="preserve">, имеющим право второй подписи в соответствии с карточкой образцов подписей и оттиска печати) и заверенное оттиском его печати. Первый экземпляр платежного поручения или заявки на получение наличных денег остается в управлении </w:t>
      </w:r>
      <w:proofErr w:type="spellStart"/>
      <w:r>
        <w:t>предконтроля</w:t>
      </w:r>
      <w:proofErr w:type="spellEnd"/>
      <w:r>
        <w:t>, второй после проведения кассовых выплат (отказа в проведении кассовых выплат) возвращается фонду, не являющемуся региональным оператором.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Операции по обеспечению наличными деньгами фонда, не являющегося региональным оператором, и по взносу им наличных денежных средств осуществляются на счетах для учета средств юридических лиц, открытых в установленном порядке министерству в учреждениях Центрального банка Российской Федерации.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не позднее третьего рабочего дня, следующего за днем представления фондом, не являющимся региональным оператором, платежного поручения (заявки на получение наличных денег), включает платежное поручение (заявку на получение наличных денег) в реестр платежных поручений (заявок на получение наличных денег) для проведения кассовых выплат, который ведется министерством в электронной форме, или отклоняет платежное поручение (заявку на получение наличных денег).</w:t>
      </w:r>
      <w:proofErr w:type="gramEnd"/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5.4. Управление </w:t>
      </w:r>
      <w:proofErr w:type="spellStart"/>
      <w:r>
        <w:t>предконтроля</w:t>
      </w:r>
      <w:proofErr w:type="spellEnd"/>
      <w:r>
        <w:t xml:space="preserve"> отклоняет платежное поручение (заявку на получение наличных денег) в случае: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превышения суммы платежного поручения (заявки на получение наличных денег) над свободным остатком средств на лицевом счете;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несоответствия платежного поручения (заявки на получение наличных денег) установленной форме (в случае представления на бумажном носителе);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неверного и (или) неполного заполнения информации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несоответствия образцов подписей и оттиска печати в карточке подписям и оттиску печати фонда в платежном поручении (заявке на получение наличных денег) (в случае представления на бумажном носителе);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непредставления фондом, не являющимся региональным оператором, документов о наличии полномочий лиц, имеющих право подписи в соответствии с карточкой образцов подписей и оттиска печати;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неверного указания типа средств.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5.5. В случае необходимости уточнения произведенного платежа фонд, не являющийся региональным оператором, представляет в управление </w:t>
      </w:r>
      <w:proofErr w:type="spellStart"/>
      <w:r>
        <w:t>предконтроля</w:t>
      </w:r>
      <w:proofErr w:type="spellEnd"/>
      <w:r>
        <w:t xml:space="preserve"> уведомление согласно приложению 4 к настоящему Порядку.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lastRenderedPageBreak/>
        <w:t xml:space="preserve">Уведомление представляется посредством УРМ с использованием ЭП. </w:t>
      </w:r>
      <w:proofErr w:type="gramStart"/>
      <w:r>
        <w:t>В случае невозможности использования ЭП фонд, не являющийся региональным оператором, представляет уведомление в электронном виде, а также уведомление на бумажном носителе в двух экземплярах, подписанное руководителем (иным лицом, имеющим право первой подписи в соответствии с карточкой образцов подписей и оттиска печати) и главным бухгалтером (иным лицом, имеющим право второй подписи в соответствии с карточкой образцов подписей и оттиска печати) и</w:t>
      </w:r>
      <w:proofErr w:type="gramEnd"/>
      <w:r>
        <w:t xml:space="preserve"> заверенное оттиском его печати.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не позднее рабочего дня, следующего за днем представления уведомления, осуществляет визирование уведомления в случае соответствия его уточняемому платежному документу и передает уведомление на рассмотрение управлению операционно-кассовой работы. Управление операционно-кассовой работы не позднее рабочего дня, следующего за получением от управления </w:t>
      </w:r>
      <w:proofErr w:type="spellStart"/>
      <w:r>
        <w:t>предконтроля</w:t>
      </w:r>
      <w:proofErr w:type="spellEnd"/>
      <w:r>
        <w:t xml:space="preserve"> уведомления, производит уточнение произведенного платежа.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Первый экземпляр уведомления в случае представления его на бумажном носителе остается в управлении операционно-кассовой работы, второй после уточнения платежа возвращается фонду, не являющемуся региональным оператором.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5.6. </w:t>
      </w:r>
      <w:proofErr w:type="gramStart"/>
      <w:r>
        <w:t xml:space="preserve">Управление </w:t>
      </w:r>
      <w:proofErr w:type="spellStart"/>
      <w:r>
        <w:t>предконтроля</w:t>
      </w:r>
      <w:proofErr w:type="spellEnd"/>
      <w:r>
        <w:t xml:space="preserve"> не позднее второго рабочего дня, следующего за днем представления фондом, не являющимся региональным оператором, платежного поручения (заявки на получение наличных денег), производит списание средств с лицевого счета по платежным поручениям (заявкам на получение наличных денег), включенным в реестр платежных поручений (заявок на получение наличных денег).";</w:t>
      </w:r>
      <w:proofErr w:type="gramEnd"/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приложении 4</w:t>
        </w:r>
      </w:hyperlink>
      <w:r>
        <w:t xml:space="preserve"> слова "регионального оператора" заменить словом "фонда".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19.05.2014 N 01-07/24 "Об утверждении Типового соглашения о взаимодействии министерства управления финансами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области, и кредитной организации" следующие изменения: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Типовом </w:t>
      </w:r>
      <w:hyperlink r:id="rId23" w:history="1">
        <w:r>
          <w:rPr>
            <w:color w:val="0000FF"/>
          </w:rPr>
          <w:t>соглашении</w:t>
        </w:r>
      </w:hyperlink>
      <w:r>
        <w:t xml:space="preserve"> о взаимодействии министерства управления финансами Самарской области, регионального оператора системы капитального ремонта общего имущества в многоквартирных домах, расположенных на территории Самарской области, и кредитной организации: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2.2</w:t>
        </w:r>
      </w:hyperlink>
      <w:r>
        <w:t xml:space="preserve"> слова "Порядком осуществления кассовых выплат и санкционирования (согласования) расходов регионального оператора системы капитального ремонта общего имущества в многоквартирных домах, расположенных на территории Самарской области" заменить словами "Порядком осуществления кассовых выплат за счет средств некоммерческих организаций, образованных в организационно-правовой форме фонда".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13.12.2007 N 12-21/99 "Об утверждении Порядка исполнения областного бюджета по расходам" следующие изменения: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Порядке</w:t>
        </w:r>
      </w:hyperlink>
      <w:r>
        <w:t xml:space="preserve"> исполнения областного бюджета по расходам: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пункте 4.2</w:t>
        </w:r>
      </w:hyperlink>
      <w:r>
        <w:t>:</w:t>
      </w:r>
    </w:p>
    <w:p w:rsidR="0063338A" w:rsidRDefault="0063338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абзац первый</w:t>
        </w:r>
      </w:hyperlink>
      <w:r>
        <w:t xml:space="preserve"> и </w:t>
      </w:r>
      <w:hyperlink r:id="rId29" w:history="1">
        <w:r>
          <w:rPr>
            <w:color w:val="0000FF"/>
          </w:rPr>
          <w:t>третий</w:t>
        </w:r>
      </w:hyperlink>
      <w:r>
        <w:t xml:space="preserve"> после слов "суммы бюджетного обязательства" дополнить словами "в текущем финансовом году";</w:t>
      </w:r>
    </w:p>
    <w:p w:rsidR="0063338A" w:rsidRDefault="0063338A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63338A" w:rsidRDefault="0063338A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 девятый</w:t>
        </w:r>
      </w:hyperlink>
      <w:r>
        <w:t xml:space="preserve"> изложить в следующей редакции: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"на оказание услуг по финансовому посредничеству и (или) услуг, являющихся вспомогательными по отношению к финансовому посредничеству</w:t>
      </w:r>
      <w:proofErr w:type="gramStart"/>
      <w:r>
        <w:t>;"</w:t>
      </w:r>
      <w:proofErr w:type="gramEnd"/>
      <w:r>
        <w:t>;</w:t>
      </w:r>
    </w:p>
    <w:p w:rsidR="0063338A" w:rsidRDefault="0063338A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абзацы тринадцатый</w:t>
        </w:r>
      </w:hyperlink>
      <w:r>
        <w:t xml:space="preserve"> и </w:t>
      </w:r>
      <w:hyperlink r:id="rId33" w:history="1">
        <w:r>
          <w:rPr>
            <w:color w:val="0000FF"/>
          </w:rPr>
          <w:t>пятнадцатый</w:t>
        </w:r>
      </w:hyperlink>
      <w:r>
        <w:t xml:space="preserve"> признать утратившими силу;</w:t>
      </w:r>
    </w:p>
    <w:p w:rsidR="0063338A" w:rsidRDefault="0063338A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 двадцать четвертый</w:t>
        </w:r>
      </w:hyperlink>
      <w:r>
        <w:t xml:space="preserve"> изложить в следующей редакции: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"При реализации мероприятий, финансовое обеспечение которых производится за счет межбюджетных трансфертов из федерального бюджета, авансовые платежи санкционируются в размере, не превышающем предельный размер авансового платежа, установленный федеральным правовым актом для получателей средств федерального бюджета</w:t>
      </w:r>
      <w:proofErr w:type="gramStart"/>
      <w:r>
        <w:t>.";</w:t>
      </w:r>
      <w:proofErr w:type="gramEnd"/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пункте 7.1</w:t>
        </w:r>
      </w:hyperlink>
      <w:r>
        <w:t>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абзаце третьем</w:t>
        </w:r>
      </w:hyperlink>
      <w:r>
        <w:t xml:space="preserve"> слова "Правилами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N 999 (далее - Правила), и" исключить;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четвертом</w:t>
        </w:r>
      </w:hyperlink>
      <w:r>
        <w:t xml:space="preserve"> слова "Правилами" заменить словами "</w:t>
      </w:r>
      <w:hyperlink r:id="rId38" w:history="1">
        <w:r>
          <w:rPr>
            <w:color w:val="0000FF"/>
          </w:rPr>
          <w:t>приказом</w:t>
        </w:r>
      </w:hyperlink>
      <w:r>
        <w:t xml:space="preserve"> N 213н".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29.01.2015 N 01-07/6 "Об утверждении Порядка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области" следующие изменения: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Порядке</w:t>
        </w:r>
      </w:hyperlink>
      <w:r>
        <w:t xml:space="preserve"> проведения кассовых операций со средствами государственных бюджетных и автономных учреждений Самарской области, государственных унитарных предприятий Самарской области, лицевые счета которых открыты в министерстве управления финансами Самарской области: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 xml:space="preserve">в пункте 1.5 в </w:t>
      </w:r>
      <w:hyperlink r:id="rId41" w:history="1">
        <w:r>
          <w:rPr>
            <w:color w:val="0000FF"/>
          </w:rPr>
          <w:t>абзаце первом</w:t>
        </w:r>
      </w:hyperlink>
      <w:r>
        <w:t xml:space="preserve"> слова "приказом Министерства финансов Российской Федерации от 28.07.2010 N 81н "О требованиях к плану финансово-хозяйственной деятельности государственного (муниципального) учреждения" заменить словами "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31.08.2018 N 186н "О Требованиях к составлению и утверждению плана финансово-хозяйственной деятельности государственного (муниципального) учреждения".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5.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63338A" w:rsidRDefault="0063338A">
      <w:pPr>
        <w:pStyle w:val="ConsPlusNormal"/>
        <w:spacing w:before="220"/>
        <w:ind w:firstLine="540"/>
        <w:jc w:val="both"/>
      </w:pPr>
      <w:r>
        <w:t>6. Настоящий Приказ вступает в силу со дня официального опубликования.</w:t>
      </w:r>
    </w:p>
    <w:p w:rsidR="0063338A" w:rsidRDefault="0063338A">
      <w:pPr>
        <w:pStyle w:val="ConsPlusNormal"/>
        <w:jc w:val="both"/>
      </w:pPr>
    </w:p>
    <w:p w:rsidR="0063338A" w:rsidRDefault="0063338A">
      <w:pPr>
        <w:pStyle w:val="ConsPlusNormal"/>
        <w:jc w:val="right"/>
      </w:pPr>
      <w:r>
        <w:t>Министр</w:t>
      </w:r>
    </w:p>
    <w:p w:rsidR="0063338A" w:rsidRDefault="0063338A">
      <w:pPr>
        <w:pStyle w:val="ConsPlusNormal"/>
        <w:jc w:val="right"/>
      </w:pPr>
      <w:r>
        <w:t>А.В.ПРЯМИЛОВ</w:t>
      </w:r>
    </w:p>
    <w:p w:rsidR="0063338A" w:rsidRDefault="0063338A">
      <w:pPr>
        <w:pStyle w:val="ConsPlusNormal"/>
        <w:jc w:val="both"/>
      </w:pPr>
    </w:p>
    <w:p w:rsidR="0063338A" w:rsidRDefault="0063338A">
      <w:pPr>
        <w:pStyle w:val="ConsPlusNormal"/>
        <w:jc w:val="both"/>
      </w:pPr>
    </w:p>
    <w:p w:rsidR="0063338A" w:rsidRDefault="00633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8E4" w:rsidRDefault="002528E4"/>
    <w:sectPr w:rsidR="002528E4" w:rsidSect="004E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38A"/>
    <w:rsid w:val="00056549"/>
    <w:rsid w:val="002528E4"/>
    <w:rsid w:val="0063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3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33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574A3A516716382A9E1CA2736F862E147714FC3A22888992EC15DE0B648FC38ACD305CEC2D1E5C8F3DC49A80F12CAEDAkCx4G" TargetMode="External"/><Relationship Id="rId13" Type="http://schemas.openxmlformats.org/officeDocument/2006/relationships/hyperlink" Target="consultantplus://offline/ref=27574A3A516716382A9E1CA2736F862E147714FC3D228C8D99E148D4033D83C18DC26F4BF9644A518D3FDB9988BB7FEA8DC8D6590B223F1FCD04EFk9x0G" TargetMode="External"/><Relationship Id="rId18" Type="http://schemas.openxmlformats.org/officeDocument/2006/relationships/hyperlink" Target="consultantplus://offline/ref=27574A3A516716382A9E1CA2736F862E147714FC3D228C8D99E148D4033D83C18DC26F4BF9644A518D3FDB9288BB7FEA8DC8D6590B223F1FCD04EFk9x0G" TargetMode="External"/><Relationship Id="rId26" Type="http://schemas.openxmlformats.org/officeDocument/2006/relationships/hyperlink" Target="consultantplus://offline/ref=27574A3A516716382A9E1CA2736F862E147714FC3A228F8F9CED15DE0B648FC38ACD305CFE2D46508D3FDA9B81E47AFF9C90D959173C3C02D106ED93k2x3G" TargetMode="External"/><Relationship Id="rId39" Type="http://schemas.openxmlformats.org/officeDocument/2006/relationships/hyperlink" Target="consultantplus://offline/ref=27574A3A516716382A9E1CA2736F862E147714FC3A21898B9AE315DE0B648FC38ACD305CEC2D1E5C8F3DC49A80F12CAEDAkCx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574A3A516716382A9E1CA2736F862E147714FC3D228C8D99E148D4033D83C18DC26F4BF9644A518D3EDA9E88BB7FEA8DC8D6590B223F1FCD04EFk9x0G" TargetMode="External"/><Relationship Id="rId34" Type="http://schemas.openxmlformats.org/officeDocument/2006/relationships/hyperlink" Target="consultantplus://offline/ref=27574A3A516716382A9E1CA2736F862E147714FC3A228F8F9CED15DE0B648FC38ACD305CFE2D46508D3FDE9985E47AFF9C90D959173C3C02D106ED93k2x3G" TargetMode="External"/><Relationship Id="rId42" Type="http://schemas.openxmlformats.org/officeDocument/2006/relationships/hyperlink" Target="consultantplus://offline/ref=27574A3A516716382A9E02AF6503DA26117849F1332386DEC7BE138954348996D88D6E05BF6B55518E21D89A81kExEG" TargetMode="External"/><Relationship Id="rId7" Type="http://schemas.openxmlformats.org/officeDocument/2006/relationships/hyperlink" Target="consultantplus://offline/ref=27574A3A516716382A9E1CA2736F862E147714FC3D228C8D99E148D4033D83C18DC26F4BF9644A518D3FDA9E88BB7FEA8DC8D6590B223F1FCD04EFk9x0G" TargetMode="External"/><Relationship Id="rId12" Type="http://schemas.openxmlformats.org/officeDocument/2006/relationships/hyperlink" Target="consultantplus://offline/ref=27574A3A516716382A9E1CA2736F862E147714FC3D228C8D99E148D4033D83C18DC26F4BF9644A518D3FDB9988BB7FEA8DC8D6590B223F1FCD04EFk9x0G" TargetMode="External"/><Relationship Id="rId17" Type="http://schemas.openxmlformats.org/officeDocument/2006/relationships/hyperlink" Target="consultantplus://offline/ref=27574A3A516716382A9E1CA2736F862E147714FC3D228C8D99E148D4033D83C18DC26F4BF9644A518D3FDB9D88BB7FEA8DC8D6590B223F1FCD04EFk9x0G" TargetMode="External"/><Relationship Id="rId25" Type="http://schemas.openxmlformats.org/officeDocument/2006/relationships/hyperlink" Target="consultantplus://offline/ref=27574A3A516716382A9E1CA2736F862E147714FC3A228F8F9CED15DE0B648FC38ACD305CEC2D1E5C8F3DC49A80F12CAEDAkCx4G" TargetMode="External"/><Relationship Id="rId33" Type="http://schemas.openxmlformats.org/officeDocument/2006/relationships/hyperlink" Target="consultantplus://offline/ref=27574A3A516716382A9E1CA2736F862E147714FC3A228F8F9CED15DE0B648FC38ACD305CFE2D46508D3FDE9282E47AFF9C90D959173C3C02D106ED93k2x3G" TargetMode="External"/><Relationship Id="rId38" Type="http://schemas.openxmlformats.org/officeDocument/2006/relationships/hyperlink" Target="consultantplus://offline/ref=27574A3A516716382A9E02AF6503DA26117F4AF0382286DEC7BE138954348996D88D6E05BF6B55518E21D89A81kEx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574A3A516716382A9E1CA2736F862E147714FC3D228C8D99E148D4033D83C18DC26F4BF9644A518D3FDB9D88BB7FEA8DC8D6590B223F1FCD04EFk9x0G" TargetMode="External"/><Relationship Id="rId20" Type="http://schemas.openxmlformats.org/officeDocument/2006/relationships/hyperlink" Target="consultantplus://offline/ref=27574A3A516716382A9E02AF6503DA26117D4CF13D2686DEC7BE138954348996D88D6E05BF6B55518E21D89A81kExEG" TargetMode="External"/><Relationship Id="rId29" Type="http://schemas.openxmlformats.org/officeDocument/2006/relationships/hyperlink" Target="consultantplus://offline/ref=27574A3A516716382A9E1CA2736F862E147714FC3A228F8F9CED15DE0B648FC38ACD305CFE2D46508D3FDE9D85E47AFF9C90D959173C3C02D106ED93k2x3G" TargetMode="External"/><Relationship Id="rId41" Type="http://schemas.openxmlformats.org/officeDocument/2006/relationships/hyperlink" Target="consultantplus://offline/ref=27574A3A516716382A9E1CA2736F862E147714FC3A21898B9AE315DE0B648FC38ACD305CFE2D46508D3FDA9881E47AFF9C90D959173C3C02D106ED93k2x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574A3A516716382A9E1CA2736F862E147714FC3D228C8D99E148D4033D83C18DC26F4BF9644A518D3FDA9988BB7FEA8DC8D6590B223F1FCD04EFk9x0G" TargetMode="External"/><Relationship Id="rId11" Type="http://schemas.openxmlformats.org/officeDocument/2006/relationships/hyperlink" Target="consultantplus://offline/ref=27574A3A516716382A9E1CA2736F862E147714FC3D228C8D99E148D4033D83C18DC26F4BF9644A518D3FDB9B88BB7FEA8DC8D6590B223F1FCD04EFk9x0G" TargetMode="External"/><Relationship Id="rId24" Type="http://schemas.openxmlformats.org/officeDocument/2006/relationships/hyperlink" Target="consultantplus://offline/ref=27574A3A516716382A9E1CA2736F862E147714FC3E298C809EE148D4033D83C18DC26F4BF9644A518D3FD89A88BB7FEA8DC8D6590B223F1FCD04EFk9x0G" TargetMode="External"/><Relationship Id="rId32" Type="http://schemas.openxmlformats.org/officeDocument/2006/relationships/hyperlink" Target="consultantplus://offline/ref=27574A3A516716382A9E1CA2736F862E147714FC3A228F8F9CED15DE0B648FC38ACD305CFE2D46508D3FDE9D8AE47AFF9C90D959173C3C02D106ED93k2x3G" TargetMode="External"/><Relationship Id="rId37" Type="http://schemas.openxmlformats.org/officeDocument/2006/relationships/hyperlink" Target="consultantplus://offline/ref=27574A3A516716382A9E1CA2736F862E147714FC3A228F8F9CED15DE0B648FC38ACD305CFE2D46508D3FDF9882E47AFF9C90D959173C3C02D106ED93k2x3G" TargetMode="External"/><Relationship Id="rId40" Type="http://schemas.openxmlformats.org/officeDocument/2006/relationships/hyperlink" Target="consultantplus://offline/ref=27574A3A516716382A9E1CA2736F862E147714FC3A21898B9AE315DE0B648FC38ACD305CFE2D46508D3FDA9B87E47AFF9C90D959173C3C02D106ED93k2x3G" TargetMode="External"/><Relationship Id="rId5" Type="http://schemas.openxmlformats.org/officeDocument/2006/relationships/hyperlink" Target="consultantplus://offline/ref=27574A3A516716382A9E1CA2736F862E147714FC3D228C8D99E148D4033D83C18DC26F59F93C46538F21DA999DED2EACkDx9G" TargetMode="External"/><Relationship Id="rId15" Type="http://schemas.openxmlformats.org/officeDocument/2006/relationships/hyperlink" Target="consultantplus://offline/ref=27574A3A516716382A9E1CA2736F862E147714FC3D228C8D99E148D4033D83C18DC26F4BF9644A518D3FDB9E88BB7FEA8DC8D6590B223F1FCD04EFk9x0G" TargetMode="External"/><Relationship Id="rId23" Type="http://schemas.openxmlformats.org/officeDocument/2006/relationships/hyperlink" Target="consultantplus://offline/ref=27574A3A516716382A9E1CA2736F862E147714FC3E298C809EE148D4033D83C18DC26F4BF9644A518D3FDB9A88BB7FEA8DC8D6590B223F1FCD04EFk9x0G" TargetMode="External"/><Relationship Id="rId28" Type="http://schemas.openxmlformats.org/officeDocument/2006/relationships/hyperlink" Target="consultantplus://offline/ref=27574A3A516716382A9E1CA2736F862E147714FC3A228F8F9CED15DE0B648FC38ACD305CFE2D46508D3FDE9D87E47AFF9C90D959173C3C02D106ED93k2x3G" TargetMode="External"/><Relationship Id="rId36" Type="http://schemas.openxmlformats.org/officeDocument/2006/relationships/hyperlink" Target="consultantplus://offline/ref=27574A3A516716382A9E1CA2736F862E147714FC3A228F8F9CED15DE0B648FC38ACD305CFE2D46508D3FDF9883E47AFF9C90D959173C3C02D106ED93k2x3G" TargetMode="External"/><Relationship Id="rId10" Type="http://schemas.openxmlformats.org/officeDocument/2006/relationships/hyperlink" Target="consultantplus://offline/ref=27574A3A516716382A9E1CA2736F862E147714FC3D228C8D99E148D4033D83C18DC26F4BF9644A518D3FDB9B88BB7FEA8DC8D6590B223F1FCD04EFk9x0G" TargetMode="External"/><Relationship Id="rId19" Type="http://schemas.openxmlformats.org/officeDocument/2006/relationships/hyperlink" Target="consultantplus://offline/ref=27574A3A516716382A9E1CA2736F862E147714FC3D228C8D99E148D4033D83C18DC26F4BF9644A518D3FDC9888BB7FEA8DC8D6590B223F1FCD04EFk9x0G" TargetMode="External"/><Relationship Id="rId31" Type="http://schemas.openxmlformats.org/officeDocument/2006/relationships/hyperlink" Target="consultantplus://offline/ref=27574A3A516716382A9E1CA2736F862E147714FC3A228F8F9CED15DE0B648FC38ACD305CFE2D46508D3FDA9380E47AFF9C90D959173C3C02D106ED93k2x3G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27574A3A516716382A9E1CA2736F862E147714FC3A218C8D9FE815DE0B648FC38ACD305CFE2D46508D3FDA9B83E47AFF9C90D959173C3C02D106ED93k2x3G" TargetMode="External"/><Relationship Id="rId9" Type="http://schemas.openxmlformats.org/officeDocument/2006/relationships/hyperlink" Target="consultantplus://offline/ref=27574A3A516716382A9E1CA2736F862E147714FC3D228C8D99E148D4033D83C18DC26F4BF9644A518D3FDA9F88BB7FEA8DC8D6590B223F1FCD04EFk9x0G" TargetMode="External"/><Relationship Id="rId14" Type="http://schemas.openxmlformats.org/officeDocument/2006/relationships/hyperlink" Target="consultantplus://offline/ref=27574A3A516716382A9E1CA2736F862E147714FC3A22898F9EE915DE0B648FC38ACD305CFE2D46508D3FDA9B81E47AFF9C90D959173C3C02D106ED93k2x3G" TargetMode="External"/><Relationship Id="rId22" Type="http://schemas.openxmlformats.org/officeDocument/2006/relationships/hyperlink" Target="consultantplus://offline/ref=27574A3A516716382A9E1CA2736F862E147714FC3E298C809EE148D4033D83C18DC26F59F93C46538F21DA999DED2EACkDx9G" TargetMode="External"/><Relationship Id="rId27" Type="http://schemas.openxmlformats.org/officeDocument/2006/relationships/hyperlink" Target="consultantplus://offline/ref=27574A3A516716382A9E1CA2736F862E147714FC3A228F8F9CED15DE0B648FC38ACD305CFE2D46508D3FDE9D87E47AFF9C90D959173C3C02D106ED93k2x3G" TargetMode="External"/><Relationship Id="rId30" Type="http://schemas.openxmlformats.org/officeDocument/2006/relationships/hyperlink" Target="consultantplus://offline/ref=27574A3A516716382A9E1CA2736F862E147714FC3A228F8F9CED15DE0B648FC38ACD305CFE2D46508D3FDF988AE47AFF9C90D959173C3C02D106ED93k2x3G" TargetMode="External"/><Relationship Id="rId35" Type="http://schemas.openxmlformats.org/officeDocument/2006/relationships/hyperlink" Target="consultantplus://offline/ref=27574A3A516716382A9E1CA2736F862E147714FC3A228F8F9CED15DE0B648FC38ACD305CFE2D46508D3FDF9A80E47AFF9C90D959173C3C02D106ED93k2x3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3074</Words>
  <Characters>17527</Characters>
  <Application>Microsoft Office Word</Application>
  <DocSecurity>0</DocSecurity>
  <Lines>146</Lines>
  <Paragraphs>41</Paragraphs>
  <ScaleCrop>false</ScaleCrop>
  <Company>Reanimator Extreme Edition</Company>
  <LinksUpToDate>false</LinksUpToDate>
  <CharactersWithSpaces>20560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2021-03-22T06:49:00Z</dcterms:created>
  <dcterms:modified xsi:type="dcterms:W3CDTF">2021-03-22T06:52:00Z</dcterms:modified>
</cp:coreProperties>
</file>