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B3" w:rsidRDefault="00D102B3">
      <w:pPr>
        <w:pStyle w:val="ConsPlusTitlePage"/>
      </w:pPr>
      <w:r>
        <w:br/>
      </w:r>
    </w:p>
    <w:p w:rsidR="00D102B3" w:rsidRDefault="00D102B3">
      <w:pPr>
        <w:pStyle w:val="ConsPlusNormal"/>
        <w:jc w:val="both"/>
        <w:outlineLvl w:val="0"/>
      </w:pPr>
    </w:p>
    <w:p w:rsidR="00D102B3" w:rsidRDefault="00D102B3">
      <w:pPr>
        <w:pStyle w:val="ConsPlusTitle"/>
        <w:jc w:val="center"/>
        <w:outlineLvl w:val="0"/>
      </w:pPr>
      <w:r>
        <w:t>МИНИСТЕРСТВО УПРАВЛЕНИЯ ФИНАНСАМИ</w:t>
      </w:r>
    </w:p>
    <w:p w:rsidR="00D102B3" w:rsidRDefault="00D102B3">
      <w:pPr>
        <w:pStyle w:val="ConsPlusTitle"/>
        <w:jc w:val="center"/>
      </w:pPr>
      <w:r>
        <w:t>САМАРСКОЙ ОБЛАСТИ</w:t>
      </w:r>
    </w:p>
    <w:p w:rsidR="00D102B3" w:rsidRDefault="00D102B3">
      <w:pPr>
        <w:pStyle w:val="ConsPlusTitle"/>
        <w:jc w:val="both"/>
      </w:pPr>
    </w:p>
    <w:p w:rsidR="00D102B3" w:rsidRDefault="00D102B3">
      <w:pPr>
        <w:pStyle w:val="ConsPlusTitle"/>
        <w:jc w:val="center"/>
      </w:pPr>
      <w:r>
        <w:t>ПРИКАЗ</w:t>
      </w:r>
    </w:p>
    <w:p w:rsidR="00D102B3" w:rsidRDefault="00D102B3">
      <w:pPr>
        <w:pStyle w:val="ConsPlusTitle"/>
        <w:jc w:val="center"/>
      </w:pPr>
      <w:r>
        <w:t>от 29 декабря 2020 г. N 01-07/91н</w:t>
      </w:r>
    </w:p>
    <w:p w:rsidR="00D102B3" w:rsidRDefault="00D102B3">
      <w:pPr>
        <w:pStyle w:val="ConsPlusTitle"/>
        <w:jc w:val="both"/>
      </w:pPr>
    </w:p>
    <w:p w:rsidR="00D102B3" w:rsidRDefault="00D102B3">
      <w:pPr>
        <w:pStyle w:val="ConsPlusTitle"/>
        <w:jc w:val="center"/>
      </w:pPr>
      <w:r>
        <w:t>ОБ УТВЕРЖДЕНИИ ПОРЯДКА УЧЕТА ОБЯЗАТЕЛЬСТВ, ВЫТЕКАЮЩИХ</w:t>
      </w:r>
    </w:p>
    <w:p w:rsidR="00D102B3" w:rsidRDefault="00D102B3">
      <w:pPr>
        <w:pStyle w:val="ConsPlusTitle"/>
        <w:jc w:val="center"/>
      </w:pPr>
      <w:r>
        <w:t xml:space="preserve">ИЗ ДОГОВОРОВ (КОНТРАКТОВ), ЗАКЛЮЧЕННЫХ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Title"/>
        <w:jc w:val="center"/>
      </w:pPr>
      <w:r>
        <w:t>БЮДЖЕТНЫМИ (АВТОНОМНЫМИ) УЧРЕЖДЕНИЯМИ САМАРСКОЙ ОБЛАСТИ</w:t>
      </w:r>
    </w:p>
    <w:p w:rsidR="00D102B3" w:rsidRDefault="00D102B3">
      <w:pPr>
        <w:pStyle w:val="ConsPlusTitle"/>
        <w:jc w:val="center"/>
      </w:pPr>
      <w:r>
        <w:t xml:space="preserve">И ГОСУДАРСТВЕННЫМИ УНИТАРНЫМИ ПРЕДПРИЯТИЯМИ </w:t>
      </w:r>
      <w:proofErr w:type="gramStart"/>
      <w:r>
        <w:t>САМАРСКОЙ</w:t>
      </w:r>
      <w:proofErr w:type="gramEnd"/>
    </w:p>
    <w:p w:rsidR="00D102B3" w:rsidRDefault="00D102B3">
      <w:pPr>
        <w:pStyle w:val="ConsPlusTitle"/>
        <w:jc w:val="center"/>
      </w:pPr>
      <w:r>
        <w:t xml:space="preserve">ОБЛАСТИ, И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D102B3" w:rsidRDefault="00D102B3">
      <w:pPr>
        <w:pStyle w:val="ConsPlusTitle"/>
        <w:jc w:val="center"/>
      </w:pPr>
      <w:r>
        <w:t>МИНИСТЕРСТВА УПРАВЛЕНИЯ ФИНАНСАМИ САМАРСКОЙ ОБЛАСТИ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учета обязательств, вытекающих из договоров (контрактов), заключенных государственными бюджетными (автономными) учреждениями Самарской области и государственными унитарными предприятиями Самарской области.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управления финансами Самарской области: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от 29.12.2011 </w:t>
      </w:r>
      <w:hyperlink r:id="rId5" w:history="1">
        <w:r>
          <w:rPr>
            <w:color w:val="0000FF"/>
          </w:rPr>
          <w:t>N 01-21/187</w:t>
        </w:r>
      </w:hyperlink>
      <w:r>
        <w:t xml:space="preserve"> "Об утверждении Порядка учета обязательств, вытекающих из договоров (контрактов), заключенных государственными бюджетными (автономными) учреждениями Самарской области и государственными унитарными предприятиями Самарской области";</w:t>
      </w:r>
    </w:p>
    <w:p w:rsidR="00D102B3" w:rsidRDefault="00D102B3">
      <w:pPr>
        <w:pStyle w:val="ConsPlusNormal"/>
        <w:spacing w:before="220"/>
        <w:ind w:firstLine="540"/>
        <w:jc w:val="both"/>
      </w:pPr>
      <w:proofErr w:type="gramStart"/>
      <w:r>
        <w:t xml:space="preserve">от 08.05.2014 </w:t>
      </w:r>
      <w:hyperlink r:id="rId6" w:history="1">
        <w:r>
          <w:rPr>
            <w:color w:val="0000FF"/>
          </w:rPr>
          <w:t>N 01-07/23</w:t>
        </w:r>
      </w:hyperlink>
      <w:r>
        <w:t xml:space="preserve"> "О внесении изменений в приказ министерства управления финансами Самарской области от 29.12.2011 N 01-21/187 "Об утверждении Порядка учета обязательств, вытекающих из заключенных автономными учреждениями Самарской области договоров,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Федерации".</w:t>
      </w:r>
      <w:proofErr w:type="gramEnd"/>
    </w:p>
    <w:p w:rsidR="00D102B3" w:rsidRDefault="00D102B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102B3" w:rsidRDefault="00C60CCC">
      <w:pPr>
        <w:pStyle w:val="ConsPlusNormal"/>
        <w:spacing w:before="220"/>
        <w:ind w:firstLine="540"/>
        <w:jc w:val="both"/>
      </w:pPr>
      <w:hyperlink r:id="rId7" w:history="1">
        <w:r w:rsidR="00D102B3">
          <w:rPr>
            <w:color w:val="0000FF"/>
          </w:rPr>
          <w:t>пункт 3</w:t>
        </w:r>
      </w:hyperlink>
      <w:r w:rsidR="00D102B3">
        <w:t xml:space="preserve"> приказа министерства управления финансами Самарской области от 28.12.2015 N 01-07/57 "О внесении изменений в отдельные приказы министерства управления финансами Самарской области";</w:t>
      </w:r>
    </w:p>
    <w:p w:rsidR="00D102B3" w:rsidRDefault="00C60CCC">
      <w:pPr>
        <w:pStyle w:val="ConsPlusNormal"/>
        <w:spacing w:before="220"/>
        <w:ind w:firstLine="540"/>
        <w:jc w:val="both"/>
      </w:pPr>
      <w:hyperlink r:id="rId8" w:history="1">
        <w:r w:rsidR="00D102B3">
          <w:rPr>
            <w:color w:val="0000FF"/>
          </w:rPr>
          <w:t>пункт 3</w:t>
        </w:r>
      </w:hyperlink>
      <w:r w:rsidR="00D102B3">
        <w:t xml:space="preserve"> приказа министерства управления финансами Самарской области от 29.03.2016 N 01-07/20 "О внесении изменений в отдельные приказы министерства управления финансами Самарской области";</w:t>
      </w:r>
    </w:p>
    <w:p w:rsidR="00D102B3" w:rsidRDefault="00C60CCC">
      <w:pPr>
        <w:pStyle w:val="ConsPlusNormal"/>
        <w:spacing w:before="220"/>
        <w:ind w:firstLine="540"/>
        <w:jc w:val="both"/>
      </w:pPr>
      <w:hyperlink r:id="rId9" w:history="1">
        <w:r w:rsidR="00D102B3">
          <w:rPr>
            <w:color w:val="0000FF"/>
          </w:rPr>
          <w:t>пункт 2</w:t>
        </w:r>
      </w:hyperlink>
      <w:r w:rsidR="00D102B3">
        <w:t xml:space="preserve"> приказа министерства управления финансами Самарской области от 24.01.2017 N 01-07/6 "О внесении изменений в отдельные приказы министерства управления финансами Самарской области";</w:t>
      </w:r>
    </w:p>
    <w:p w:rsidR="00D102B3" w:rsidRDefault="00C60CCC">
      <w:pPr>
        <w:pStyle w:val="ConsPlusNormal"/>
        <w:spacing w:before="220"/>
        <w:ind w:firstLine="540"/>
        <w:jc w:val="both"/>
      </w:pPr>
      <w:hyperlink r:id="rId10" w:history="1">
        <w:r w:rsidR="00D102B3">
          <w:rPr>
            <w:color w:val="0000FF"/>
          </w:rPr>
          <w:t>пункт 3</w:t>
        </w:r>
      </w:hyperlink>
      <w:r w:rsidR="00D102B3">
        <w:t xml:space="preserve"> приказа министерства управления финансами Самарской области от 03.07.2018 N 01-07/36 "О внесении изменений в отдельные приказы министерства управления финансами Самарской области";</w:t>
      </w:r>
    </w:p>
    <w:p w:rsidR="00D102B3" w:rsidRDefault="00C60CCC">
      <w:pPr>
        <w:pStyle w:val="ConsPlusNormal"/>
        <w:spacing w:before="220"/>
        <w:ind w:firstLine="540"/>
        <w:jc w:val="both"/>
      </w:pPr>
      <w:hyperlink r:id="rId11" w:history="1">
        <w:r w:rsidR="00D102B3">
          <w:rPr>
            <w:color w:val="0000FF"/>
          </w:rPr>
          <w:t>пункт 1</w:t>
        </w:r>
      </w:hyperlink>
      <w:r w:rsidR="00D102B3">
        <w:t xml:space="preserve"> приказа министерства управления финансами Самарской области от 12.12.2018 N 01-07/72 "О внесении изменений в отдельные приказы министерства управления финансами Самарской области".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исполнения областного бюджета и отчетности.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5.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6. Настоящий Приказ вступает в силу с 1 января 2021 года.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right"/>
      </w:pPr>
      <w:r>
        <w:t>Министр</w:t>
      </w:r>
    </w:p>
    <w:p w:rsidR="00D102B3" w:rsidRDefault="00D102B3">
      <w:pPr>
        <w:pStyle w:val="ConsPlusNormal"/>
        <w:jc w:val="right"/>
      </w:pPr>
      <w:r>
        <w:t>А.В.ПРЯМИЛОВ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right"/>
        <w:outlineLvl w:val="0"/>
      </w:pPr>
      <w:r>
        <w:t>Приложение</w:t>
      </w:r>
    </w:p>
    <w:p w:rsidR="00D102B3" w:rsidRDefault="00D102B3">
      <w:pPr>
        <w:pStyle w:val="ConsPlusNormal"/>
        <w:jc w:val="right"/>
      </w:pPr>
      <w:r>
        <w:t>к Приказу</w:t>
      </w:r>
    </w:p>
    <w:p w:rsidR="00D102B3" w:rsidRDefault="00D102B3">
      <w:pPr>
        <w:pStyle w:val="ConsPlusNormal"/>
        <w:jc w:val="right"/>
      </w:pPr>
      <w:r>
        <w:t>министерства управления финансами</w:t>
      </w:r>
    </w:p>
    <w:p w:rsidR="00D102B3" w:rsidRDefault="00D102B3">
      <w:pPr>
        <w:pStyle w:val="ConsPlusNormal"/>
        <w:jc w:val="right"/>
      </w:pPr>
      <w:r>
        <w:t>Самарской области</w:t>
      </w:r>
    </w:p>
    <w:p w:rsidR="00D102B3" w:rsidRDefault="00D102B3">
      <w:pPr>
        <w:pStyle w:val="ConsPlusNormal"/>
        <w:jc w:val="right"/>
      </w:pPr>
      <w:r>
        <w:t>от 29 декабря 2020 г. N 01-07/91н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Title"/>
        <w:jc w:val="center"/>
      </w:pPr>
      <w:bookmarkStart w:id="0" w:name="P42"/>
      <w:bookmarkEnd w:id="0"/>
      <w:r>
        <w:t>ПОРЯДОК</w:t>
      </w:r>
    </w:p>
    <w:p w:rsidR="00D102B3" w:rsidRDefault="00D102B3">
      <w:pPr>
        <w:pStyle w:val="ConsPlusTitle"/>
        <w:jc w:val="center"/>
      </w:pPr>
      <w:r>
        <w:t>УЧЕТА ОБЯЗАТЕЛЬСТВ, ВЫТЕКАЮЩИХ ИЗ ДОГОВОРОВ (КОНТРАКТОВ),</w:t>
      </w:r>
    </w:p>
    <w:p w:rsidR="00D102B3" w:rsidRDefault="00D102B3">
      <w:pPr>
        <w:pStyle w:val="ConsPlusTitle"/>
        <w:jc w:val="center"/>
      </w:pPr>
      <w:r>
        <w:t xml:space="preserve">ЗАКЛЮЧЕННЫХ </w:t>
      </w:r>
      <w:proofErr w:type="gramStart"/>
      <w:r>
        <w:t>ГОСУДАРСТВЕННЫМИ</w:t>
      </w:r>
      <w:proofErr w:type="gramEnd"/>
      <w:r>
        <w:t xml:space="preserve"> БЮДЖЕТНЫМИ (АВТОНОМНЫМИ)</w:t>
      </w:r>
    </w:p>
    <w:p w:rsidR="00D102B3" w:rsidRDefault="00D102B3">
      <w:pPr>
        <w:pStyle w:val="ConsPlusTitle"/>
        <w:jc w:val="center"/>
      </w:pPr>
      <w:r>
        <w:t>УЧРЕЖДЕНИЯМИ САМАРСКОЙ ОБЛАСТИ И ГОСУДАРСТВЕННЫМИ УНИТАРНЫМИ</w:t>
      </w:r>
    </w:p>
    <w:p w:rsidR="00D102B3" w:rsidRDefault="00D102B3">
      <w:pPr>
        <w:pStyle w:val="ConsPlusTitle"/>
        <w:jc w:val="center"/>
      </w:pPr>
      <w:r>
        <w:t>ПРЕДПРИЯТИЯМИ САМАРСКОЙ ОБЛАСТИ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Title"/>
        <w:jc w:val="center"/>
        <w:outlineLvl w:val="1"/>
      </w:pPr>
      <w:r>
        <w:t>1. Общие положения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 xml:space="preserve">1.1. Настоящий Порядок устанавливает процедуру учета управлением предварительного контроля и учета бюджетных обязательств и территориальными отделами департамента исполнения областного бюджета и отчетности министерства управления финансами Самарской области (далее соответственно - управление </w:t>
      </w:r>
      <w:proofErr w:type="spellStart"/>
      <w:r>
        <w:t>предконтроля</w:t>
      </w:r>
      <w:proofErr w:type="spellEnd"/>
      <w:r>
        <w:t xml:space="preserve">, территориальный отдел, департамент, министерство) обязательств, вытекающих из гражданско-правовых договоров (контрактов), </w:t>
      </w:r>
      <w:proofErr w:type="gramStart"/>
      <w:r>
        <w:t>предметом</w:t>
      </w:r>
      <w:proofErr w:type="gramEnd"/>
      <w:r>
        <w:t xml:space="preserve"> которых являются поставка товара, выполнение работы, оказание услуги (далее - договор), заключенных государственными бюджетными (автономными) учреждениями, государственными унитарными предприятиями Самарской области (далее - договорные обязательства):</w:t>
      </w:r>
    </w:p>
    <w:p w:rsidR="00D102B3" w:rsidRDefault="00D102B3">
      <w:pPr>
        <w:pStyle w:val="ConsPlusNormal"/>
        <w:spacing w:before="220"/>
        <w:ind w:firstLine="540"/>
        <w:jc w:val="both"/>
      </w:pPr>
      <w:proofErr w:type="gramStart"/>
      <w:r>
        <w:t xml:space="preserve">на сумму, равную или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источником финансового обеспечения которых являются средства, полученные в соответствии с </w:t>
      </w:r>
      <w:hyperlink r:id="rId12" w:history="1">
        <w:r>
          <w:rPr>
            <w:color w:val="0000FF"/>
          </w:rPr>
          <w:t>абзацем вторым пункта 1 статьи 78.1</w:t>
        </w:r>
      </w:hyperlink>
      <w:r>
        <w:t xml:space="preserve"> (далее - целевые субсидии), </w:t>
      </w:r>
      <w:hyperlink r:id="rId13" w:history="1">
        <w:r>
          <w:rPr>
            <w:color w:val="0000FF"/>
          </w:rPr>
          <w:t>пунктом 1 статьи 78.2</w:t>
        </w:r>
      </w:hyperlink>
      <w:r>
        <w:t xml:space="preserve"> Бюджетного кодекса Российской Федерации (далее - субсидии на капитальные вложения), гранты в форме субсидий</w:t>
      </w:r>
      <w:proofErr w:type="gramEnd"/>
      <w:r>
        <w:t xml:space="preserve">, предоставленные из областного бюджета государственным бюджетным (автономным) учреждениям в соответствии с </w:t>
      </w:r>
      <w:hyperlink r:id="rId14" w:history="1">
        <w:r>
          <w:rPr>
            <w:color w:val="0000FF"/>
          </w:rPr>
          <w:t>пунктом 4 статьи 78.1</w:t>
        </w:r>
      </w:hyperlink>
      <w:r>
        <w:t xml:space="preserve"> (далее - гранты в форме субсидий);</w:t>
      </w:r>
    </w:p>
    <w:p w:rsidR="00D102B3" w:rsidRDefault="00D102B3">
      <w:pPr>
        <w:pStyle w:val="ConsPlusNormal"/>
        <w:spacing w:before="220"/>
        <w:ind w:firstLine="540"/>
        <w:jc w:val="both"/>
      </w:pPr>
      <w:proofErr w:type="gramStart"/>
      <w:r>
        <w:t xml:space="preserve">на сумму, равную или превышающую 5 000 тыс. рублей, источником финансового обеспечения которых являются средства, полученные в соответствии с </w:t>
      </w:r>
      <w:hyperlink r:id="rId15" w:history="1">
        <w:r>
          <w:rPr>
            <w:color w:val="0000FF"/>
          </w:rPr>
          <w:t>абзацем первым пункта 1 статьи 78.1</w:t>
        </w:r>
      </w:hyperlink>
      <w:r>
        <w:t xml:space="preserve"> Бюджетного кодекса Российской Федерации (далее - субсидии на </w:t>
      </w:r>
      <w:proofErr w:type="spellStart"/>
      <w:r>
        <w:t>госзадание</w:t>
      </w:r>
      <w:proofErr w:type="spellEnd"/>
      <w:r>
        <w:t xml:space="preserve">), и (или) </w:t>
      </w:r>
      <w:r>
        <w:lastRenderedPageBreak/>
        <w:t>средства, поступающие в рамках обязательного медицинского страхования (далее - средства ОМС), расходование которых связано с выполнением работ, оказанием услуг по содержанию имущества или влечет увеличение стоимости</w:t>
      </w:r>
      <w:proofErr w:type="gramEnd"/>
      <w:r>
        <w:t xml:space="preserve"> основных средств, увеличение стоимости материальных запасов.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Положения настоящего Порядка, касающиеся учета обязательств, источником финансового обеспечения которых являются субсидия на </w:t>
      </w:r>
      <w:proofErr w:type="spellStart"/>
      <w:r>
        <w:t>госзадание</w:t>
      </w:r>
      <w:proofErr w:type="spellEnd"/>
      <w:r>
        <w:t xml:space="preserve"> и (или) средства ОМС, применяются в случае, если законом Самарской области предусмотрено, что соответствующие расходы государственных бюджетных (автономных) учреждений Самарской области осуществляются после представления в министерство управления финансами Самарской области документов, подтверждающих возникновение денежных обязательств.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1.2. 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области, если иное не установлено настоящим Порядком.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В рамках настоящего Порядка под клиентом понимается государственное бюджетное (автономное) учреждение Самарской области, государственное унитарное предприятие Самарской области, указанные в их учредительных документах обособленные подразделения, наделенные обязанностью ведения бухгалтерского учета, которым в министерстве в установленном им порядке открыт лицевой счет, предназначенный для учета операций с соответствующим типом средств (источником финансового обеспечения).</w:t>
      </w:r>
      <w:proofErr w:type="gramEnd"/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Объем свободного остатка планируемых расходов клиента, источником финансового обеспечения которых являются субсидии на </w:t>
      </w:r>
      <w:proofErr w:type="spellStart"/>
      <w:r>
        <w:t>госзадание</w:t>
      </w:r>
      <w:proofErr w:type="spellEnd"/>
      <w:r>
        <w:t xml:space="preserve"> (далее - объем свободного остатка планируемых расходов за счет субсидии на </w:t>
      </w:r>
      <w:proofErr w:type="spellStart"/>
      <w:r>
        <w:t>госзадание</w:t>
      </w:r>
      <w:proofErr w:type="spellEnd"/>
      <w:r>
        <w:t>), целевые субсидии (далее - объем свободного остатка планируемых целевых расходов), субсидии на капитальные вложения (далее - объем свободного остатка планируемых капитальных расходов), гранты в форме субсидий (далее - объем свободного остатка планируемых расходов за счет грантов в форме</w:t>
      </w:r>
      <w:proofErr w:type="gramEnd"/>
      <w:r>
        <w:t xml:space="preserve"> </w:t>
      </w:r>
      <w:proofErr w:type="gramStart"/>
      <w:r>
        <w:t>субсидий), средства ОМС (далее - объем свободного остатка планируемых расходов за счет средств ОМС), определяется как разница между объемом планируемых перечислений клиента по соответствующему коду бюджетной классификации и аналитическим кодам, учтенных на лицевом счете клиента, и суммами принятых с начала финансового года на учет договорных обязательств и перечислений по прочим обязательствам по соответствующему коду бюджетной классификации и аналитическим кодам с учетом</w:t>
      </w:r>
      <w:proofErr w:type="gramEnd"/>
      <w:r>
        <w:t xml:space="preserve"> возврата средств.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1.5. Договорные обязательства клиента, подлежащие оплате за счет нескольких источников финансирования, подтверждаются управлением </w:t>
      </w:r>
      <w:proofErr w:type="spellStart"/>
      <w:r>
        <w:t>предконтроля</w:t>
      </w:r>
      <w:proofErr w:type="spellEnd"/>
      <w:r>
        <w:t xml:space="preserve"> и территориальным отделом только в части, оплачиваемой за счет субсидий на </w:t>
      </w:r>
      <w:proofErr w:type="spellStart"/>
      <w:r>
        <w:t>госзадание</w:t>
      </w:r>
      <w:proofErr w:type="spellEnd"/>
      <w:r>
        <w:t>, целевых субсидий, субсидий на капитальные вложения, грантов в форме субсидий и средств ОМС.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1.6. При наличии у клиента электронной подписи (далее - ЭП) информация о договорных обязательствах в соответствии с настоящим Порядком представляется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в электронном виде в автоматизированной системе "Бюджет" (далее - АС "Бюджет") с применением ЭП.</w:t>
      </w:r>
    </w:p>
    <w:p w:rsidR="00D102B3" w:rsidRDefault="00D102B3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или невозможности применения ЭП клиент представляет информацию о договорных обязательствах в соответствии с настоящим Порядком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в электронном виде в АС "Бюджет" и на бумажном носителе, заверенную руководителем (иным лицом, имеющим право первой подписи в соответствии с карточкой с образцами подписей и оттиска печати (далее - карточка)) и главным бухгалтером (иным лицом, имеющим</w:t>
      </w:r>
      <w:proofErr w:type="gramEnd"/>
      <w:r>
        <w:t xml:space="preserve"> право второй подписи в соответствии с карточкой) клиента и оттиском его печати.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Title"/>
        <w:jc w:val="center"/>
        <w:outlineLvl w:val="1"/>
      </w:pPr>
      <w:bookmarkStart w:id="2" w:name="P61"/>
      <w:bookmarkEnd w:id="2"/>
      <w:r>
        <w:t>2. Постановка договорных обязательств на учет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Учет договорных обязательств осуществляется управлением </w:t>
      </w:r>
      <w:proofErr w:type="spellStart"/>
      <w:r>
        <w:t>предконтроля</w:t>
      </w:r>
      <w:proofErr w:type="spellEnd"/>
      <w:r>
        <w:t xml:space="preserve"> и территориальным отделом на основании </w:t>
      </w:r>
      <w:hyperlink w:anchor="P146" w:history="1">
        <w:r>
          <w:rPr>
            <w:color w:val="0000FF"/>
          </w:rPr>
          <w:t>расшифровки</w:t>
        </w:r>
      </w:hyperlink>
      <w:r>
        <w:t xml:space="preserve"> к договорному обязательству, представленной клиентом по форме согласно приложению 1 к настоящему Порядку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по месту его обслуживания в течение пяти рабочих дней со дня размещения сведений о договоре в единой информационной системе в сфере закупок - в случае осуществления закупки в соответствии с</w:t>
      </w:r>
      <w:proofErr w:type="gramEnd"/>
      <w:r>
        <w:t xml:space="preserve"> </w:t>
      </w:r>
      <w:proofErr w:type="gramStart"/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или, соответственно, в течение пяти рабочих дней со дня заключения договора - в случае осуществления закупки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</w:t>
      </w:r>
      <w:proofErr w:type="gramEnd"/>
      <w:r>
        <w:t xml:space="preserve"> - </w:t>
      </w:r>
      <w:proofErr w:type="gramStart"/>
      <w:r>
        <w:t>Федеральный закон N 223-ФЗ).</w:t>
      </w:r>
      <w:proofErr w:type="gramEnd"/>
    </w:p>
    <w:p w:rsidR="00D102B3" w:rsidRDefault="00D102B3">
      <w:pPr>
        <w:pStyle w:val="ConsPlusNormal"/>
        <w:spacing w:before="220"/>
        <w:ind w:firstLine="540"/>
        <w:jc w:val="both"/>
      </w:pPr>
      <w:proofErr w:type="gramStart"/>
      <w:r>
        <w:t xml:space="preserve">Для постановки на учет договорных обязательств, вытекающих из договоров, заключенных по итогам проведенных торгов в отчетном финансовом году в пределах соответствующих расходов текущего финансового года, клиент представляет расшифровку к договорному обязательству в порядке, установленном </w:t>
      </w:r>
      <w:hyperlink w:anchor="P58" w:history="1">
        <w:r>
          <w:rPr>
            <w:color w:val="0000FF"/>
          </w:rPr>
          <w:t>пунктом 1.6</w:t>
        </w:r>
      </w:hyperlink>
      <w:r>
        <w:t xml:space="preserve"> настоящего Порядка, в срок не позднее десяти рабочих дней с момента отражения на лицевом счете клиента достаточного объема свободного остатка планируемых расходов за счет</w:t>
      </w:r>
      <w:proofErr w:type="gramEnd"/>
      <w:r>
        <w:t xml:space="preserve"> субсидий на </w:t>
      </w:r>
      <w:proofErr w:type="spellStart"/>
      <w:r>
        <w:t>госзадание</w:t>
      </w:r>
      <w:proofErr w:type="spellEnd"/>
      <w:r>
        <w:t>, целевых (капитальных) расходов, расходов за счет грантов в форме субсидий, расходов за счет средств ОМС.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3" w:name="P65"/>
      <w:bookmarkEnd w:id="3"/>
      <w:proofErr w:type="gramStart"/>
      <w:r>
        <w:t>При постановке на учет (изменении, прекращении, передаче) договорного обязательства, источником финансового обеспечения которого являются межбюджетные трансферты из федерального бюджета, имеющие целевое назначение, информация в расшифровках к договорным обязательствам, представляемых в соответствии с настоящим Порядком, детализируется клиентом по аналитическим кодам, используемым Федеральным казначейством в целях санкционирования операций с целевыми расходами (далее - код Федерального казначейства).</w:t>
      </w:r>
      <w:proofErr w:type="gramEnd"/>
    </w:p>
    <w:p w:rsidR="00D102B3" w:rsidRDefault="00D102B3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В случаях если клиенту предоставляются целевые субсидии (субсидии на капитальные вложения, гранты в форме субсидий) в целях достижения результатов региональных составляющих национальных и федеральных проектов (далее - национальный проект), информация в расшифровках к договорным обязательствам, представляемых в соответствии с настоящим Порядком, детализируется по коду целевой статьи расходов бюджета.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2.2. Управление </w:t>
      </w:r>
      <w:proofErr w:type="spellStart"/>
      <w:r>
        <w:t>предконтроля</w:t>
      </w:r>
      <w:proofErr w:type="spellEnd"/>
      <w:r>
        <w:t xml:space="preserve"> и территориальный отдел не позднее трех рабочих дней со дня представления клиентом расшифровки к договорному обязательству принимают договорное обязательство на учет или уведомляют клиента об отказе в принятии на учет договорного обязательства.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2.3. Управление </w:t>
      </w:r>
      <w:proofErr w:type="spellStart"/>
      <w:r>
        <w:t>предконтроля</w:t>
      </w:r>
      <w:proofErr w:type="spellEnd"/>
      <w:r>
        <w:t xml:space="preserve"> и территориальный отдел отказывают в принятии на учет договорного обязательства и уточнений в договорное обязательство в случаях: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превышения суммы аванса, указанной в расшифровке к договорному обязательству, над предельным размером аванса, установленным для получателей средств областного бюджета приказом министерства, регламентирующим порядок исполнения областного бюджета по расходам и источникам финансирования дефицита бюджета;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отсутствия на лицевом счете достаточного свободного остатка планируемых расходов за счет субсидий на </w:t>
      </w:r>
      <w:proofErr w:type="spellStart"/>
      <w:r>
        <w:t>госзадание</w:t>
      </w:r>
      <w:proofErr w:type="spellEnd"/>
      <w:r>
        <w:t>, целевых (капитальных) расходов, расходов за счет грантов в форме субсидий, расходов за счет средств ОМС;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несоответствия кода бюджетной классификации и (или) аналитического кода, указанного в </w:t>
      </w:r>
      <w:r>
        <w:lastRenderedPageBreak/>
        <w:t>расшифровке к договорному обязательству, предмету договора;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несоответствия формы представленной </w:t>
      </w:r>
      <w:proofErr w:type="gramStart"/>
      <w:r>
        <w:t>расшифровки</w:t>
      </w:r>
      <w:proofErr w:type="gramEnd"/>
      <w:r>
        <w:t xml:space="preserve"> к договорному обязательству утвержденной форме;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отсутствия в представленной расшифровке к договорному обязательству реквизитов, подлежащих заполнению клиентом;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несоответствия данных в расшифровке к договорному обязательству ранее учтенным данным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2.4. При принятии на учет договорному обязательству присваивается уникальный учетный номер, который проставляется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 в соответствующей строке расшифровки к договорному обязательству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"Бюджет", а в случае отсутствия или невозможности применения ЭП - в АС "Бюджет" и на бумажном носителе.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2.5. Если в одном договоре предусматривается наличие договорных обязательств по нескольким кодам бюджетной классификации и (или) нескольким аналитическим кодам, то такие договорные обязательства учитываются раздельно с присвоением учетного номера каждому договорному обязательству. При этом сумма каждого договорного обязательства не должна превышать объема свободного остатка планируемых расходов за счет субсидий на </w:t>
      </w:r>
      <w:proofErr w:type="spellStart"/>
      <w:r>
        <w:t>госзадание</w:t>
      </w:r>
      <w:proofErr w:type="spellEnd"/>
      <w:r>
        <w:t>, целевых (капитальных) расходов, расходов за счет грантов в форме субсидий, расходов за счет средств ОМС по соответствующему коду бюджетной классификации и аналитическим кодам.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2.6. В случае непринятия на учет договорного обязательства причина отклонения с указанием соответствующего кода отклонения проставляется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Title"/>
        <w:jc w:val="center"/>
        <w:outlineLvl w:val="1"/>
      </w:pPr>
      <w:r>
        <w:t>3. Постановка на учет уточнений в договорные обязательства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При изменении в текущем финансовом году учтенного договорного обязательства клиент в течение пяти рабочих дней со дня внесения изменений в сведения о договоре в единой информационной системе в сфере закупок - в случае осуществления закупки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 или, соответственно, в течение пяти рабочих дней со дня внесения изменений в договорное обязательство - в случае осуществления закупки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223-ФЗ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267" w:history="1">
        <w:r>
          <w:rPr>
            <w:color w:val="0000FF"/>
          </w:rPr>
          <w:t>расшифровку</w:t>
        </w:r>
      </w:hyperlink>
      <w:r>
        <w:t xml:space="preserve"> к изменениям договорного обязательства по форме согласно приложению 2 к настоящему Порядку.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3.2. В расшифровке к изменениям договорного обязательства указывается предыдущий учетный номер договорного обязательства, код Федерального казначейства и код целевой статьи расходов бюджета, в случаях, указанных в </w:t>
      </w:r>
      <w:hyperlink w:anchor="P65" w:history="1">
        <w:r>
          <w:rPr>
            <w:color w:val="0000FF"/>
          </w:rPr>
          <w:t>абзацах 3</w:t>
        </w:r>
      </w:hyperlink>
      <w:r>
        <w:t xml:space="preserve"> и </w:t>
      </w:r>
      <w:hyperlink w:anchor="P66" w:history="1">
        <w:r>
          <w:rPr>
            <w:color w:val="0000FF"/>
          </w:rPr>
          <w:t>4 пункта 2.1</w:t>
        </w:r>
      </w:hyperlink>
      <w:r>
        <w:t xml:space="preserve"> настоящего Порядка. Сумма договорного обязательства на текущий финансовый год, указанная в расшифровке к изменениям договорного обязательства, должна быть не менее суммы произведенных перечислений по данному договорному обязательству в текущем финансовом году.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В случае заключения дополнительного соглашения к договору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расшифровку к изменениям договорного обязательства, где указывает в качестве основания изменения информации об обязательстве дату и номер дополнительного соглашения.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Учет измененных договорных обязатель</w:t>
      </w:r>
      <w:proofErr w:type="gramStart"/>
      <w:r>
        <w:t>ств пр</w:t>
      </w:r>
      <w:proofErr w:type="gramEnd"/>
      <w:r>
        <w:t xml:space="preserve">оизводится в соответствии с положениями, предусмотренными </w:t>
      </w:r>
      <w:hyperlink w:anchor="P61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После принятия на учет изменений договорному обязательству присваивается новый </w:t>
      </w:r>
      <w:r>
        <w:lastRenderedPageBreak/>
        <w:t xml:space="preserve">учетный номер, который проставляется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"Бюджет", а в случае отсутствия или невозможности применения ЭП - в АС "Бюджет" и на бумажном носителе.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Для оформления досрочного прекращения договорного обязательства клиент в течение пяти рабочих дней со дня внесения изменений в сведения о договоре в единой информационной системе в сфере закупок - в случае осуществления закупки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44-ФЗ или, соответственно, в течение пяти рабочих дней со дня прекращения договорного обязательства - в случае осуществления закупки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</w:t>
      </w:r>
      <w:proofErr w:type="gramEnd"/>
      <w:r>
        <w:t xml:space="preserve"> 223-ФЗ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397" w:history="1">
        <w:r>
          <w:rPr>
            <w:color w:val="0000FF"/>
          </w:rPr>
          <w:t>расшифровку</w:t>
        </w:r>
      </w:hyperlink>
      <w:r>
        <w:t xml:space="preserve"> к прекращенному договорному обязательству по форме согласно приложению 3 к настоящему Порядку, заполненную с учетом требований </w:t>
      </w:r>
      <w:hyperlink w:anchor="P65" w:history="1">
        <w:r>
          <w:rPr>
            <w:color w:val="0000FF"/>
          </w:rPr>
          <w:t>абзацев 3</w:t>
        </w:r>
      </w:hyperlink>
      <w:r>
        <w:t xml:space="preserve"> и </w:t>
      </w:r>
      <w:hyperlink w:anchor="P66" w:history="1">
        <w:r>
          <w:rPr>
            <w:color w:val="0000FF"/>
          </w:rPr>
          <w:t>4 пункта 2.1</w:t>
        </w:r>
      </w:hyperlink>
      <w:r>
        <w:t xml:space="preserve"> настоящего Порядка.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Досрочное прекращение договорного обязательства оформляется путем проставления отметки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 о прекращении договорного обязательства в расшифровке к прекращенному договорному обязательству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"Бюджет", а в случае отсутствия или невозможности применения ЭП - в АС "Бюджет" и на бумажном носителе.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Title"/>
        <w:jc w:val="center"/>
        <w:outlineLvl w:val="1"/>
      </w:pPr>
      <w:r>
        <w:t>4. Переучет договорных обязатель</w:t>
      </w:r>
      <w:proofErr w:type="gramStart"/>
      <w:r>
        <w:t>ств в св</w:t>
      </w:r>
      <w:proofErr w:type="gramEnd"/>
      <w:r>
        <w:t>язи</w:t>
      </w:r>
    </w:p>
    <w:p w:rsidR="00D102B3" w:rsidRDefault="00D102B3">
      <w:pPr>
        <w:pStyle w:val="ConsPlusTitle"/>
        <w:jc w:val="center"/>
      </w:pPr>
      <w:r>
        <w:t>с реорганизацией, изменением подведомственности</w:t>
      </w:r>
    </w:p>
    <w:p w:rsidR="00D102B3" w:rsidRDefault="00D102B3">
      <w:pPr>
        <w:pStyle w:val="ConsPlusTitle"/>
        <w:jc w:val="center"/>
      </w:pPr>
      <w:r>
        <w:t>или изменением номера лицевого счета клиента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>4.1. В случае реорганизации клиента переучет договорных обязательств осуществляется на лицевом счете правопреемника, а в случае изменения подведомственности клиента на новом лицевом счете клиента, открываемом в соответствии с приказом министерства, регламентирующим порядок открытия и ведения лицевых счетов в министерстве (далее - порядок открытия и ведения лицевых счетов).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Сверка с клиентом принятых на учет и исполненных договорных обязательств на текущий финансовый год производится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путем направления документов, указанных в </w:t>
      </w:r>
      <w:hyperlink w:anchor="P131" w:history="1">
        <w:r>
          <w:rPr>
            <w:color w:val="0000FF"/>
          </w:rPr>
          <w:t>пункте 8.1</w:t>
        </w:r>
      </w:hyperlink>
      <w:r>
        <w:t xml:space="preserve"> настоящего Порядка, сформированных на дату реорганизации или изменения подведомственности клиента в электронном виде с использованием АС "Бюджет".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При отсутствии в течение трех рабочих дней с момента направления справок письменных возражений со стороны клиента, направленных на имя руководителя департамента, информация, содержащаяся в справках, считается подтвержденной клиентом.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Реорганизуемый или изменивший подведомственность клиент осуществляет передачу перечислений и договорных обязатель</w:t>
      </w:r>
      <w:proofErr w:type="gramStart"/>
      <w:r>
        <w:t>ств пр</w:t>
      </w:r>
      <w:proofErr w:type="gramEnd"/>
      <w:r>
        <w:t>авопреемнику. Передача перечислений производится в соответствии с положениями порядка открытия и ведения лицевых счетов.</w:t>
      </w:r>
    </w:p>
    <w:p w:rsidR="00D102B3" w:rsidRDefault="00D102B3">
      <w:pPr>
        <w:pStyle w:val="ConsPlusNormal"/>
        <w:spacing w:before="220"/>
        <w:ind w:firstLine="540"/>
        <w:jc w:val="both"/>
      </w:pPr>
      <w:proofErr w:type="gramStart"/>
      <w:r>
        <w:t xml:space="preserve">Для передачи договорных обязательств реорганизуемый или изменивший подведомственность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267" w:history="1">
        <w:r>
          <w:rPr>
            <w:color w:val="0000FF"/>
          </w:rPr>
          <w:t>расшифровку</w:t>
        </w:r>
      </w:hyperlink>
      <w:r>
        <w:t xml:space="preserve"> к изменениям договорных обязательств по форме согласно приложению 2 к настоящему Порядку, заполненную с учетом требований </w:t>
      </w:r>
      <w:hyperlink w:anchor="P65" w:history="1">
        <w:r>
          <w:rPr>
            <w:color w:val="0000FF"/>
          </w:rPr>
          <w:t>абзацев 3</w:t>
        </w:r>
      </w:hyperlink>
      <w:r>
        <w:t xml:space="preserve"> и </w:t>
      </w:r>
      <w:hyperlink w:anchor="P66" w:history="1">
        <w:r>
          <w:rPr>
            <w:color w:val="0000FF"/>
          </w:rPr>
          <w:t>4 пункта 2.1</w:t>
        </w:r>
      </w:hyperlink>
      <w:r>
        <w:t xml:space="preserve"> настоящего Порядка, в которой сумма договорных обязательств на текущий финансовый год должна быть не менее суммы произведенных перечислений по данному договорному</w:t>
      </w:r>
      <w:proofErr w:type="gramEnd"/>
      <w:r>
        <w:t xml:space="preserve"> обязательству в текущем финансовом году.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Реорганизуемый или изменивший подведомственность клиент передает исполненные договорные обязательства на основании </w:t>
      </w:r>
      <w:hyperlink w:anchor="P525" w:history="1">
        <w:r>
          <w:rPr>
            <w:color w:val="0000FF"/>
          </w:rPr>
          <w:t>акта</w:t>
        </w:r>
      </w:hyperlink>
      <w:r>
        <w:t xml:space="preserve"> приемки-передачи принятых на учет обязатель</w:t>
      </w:r>
      <w:proofErr w:type="gramStart"/>
      <w:r>
        <w:t>ств кл</w:t>
      </w:r>
      <w:proofErr w:type="gramEnd"/>
      <w:r>
        <w:t xml:space="preserve">иента по форме согласно приложению 4 к настоящему Порядку, заполненного с учетом требований </w:t>
      </w:r>
      <w:hyperlink w:anchor="P65" w:history="1">
        <w:r>
          <w:rPr>
            <w:color w:val="0000FF"/>
          </w:rPr>
          <w:t>абзацев 3</w:t>
        </w:r>
      </w:hyperlink>
      <w:r>
        <w:t xml:space="preserve"> и </w:t>
      </w:r>
      <w:hyperlink w:anchor="P66" w:history="1">
        <w:r>
          <w:rPr>
            <w:color w:val="0000FF"/>
          </w:rPr>
          <w:t>4 пункта 2.1</w:t>
        </w:r>
      </w:hyperlink>
      <w:r>
        <w:t xml:space="preserve"> настоящего Порядка.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lastRenderedPageBreak/>
        <w:t xml:space="preserve">Неисполненные договорные обязательства учитываются на вновь открытом лицевом счете на основании </w:t>
      </w:r>
      <w:hyperlink w:anchor="P267" w:history="1">
        <w:r>
          <w:rPr>
            <w:color w:val="0000FF"/>
          </w:rPr>
          <w:t>расшифровки</w:t>
        </w:r>
      </w:hyperlink>
      <w:r>
        <w:t xml:space="preserve"> к изменениям договорного обязательства по форме согласно приложению 2 к настоящему Порядку.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При изменении номера лицевого счета клиента, не связанного с реорганизацией или изменением подведомственности, за исключением случая, указанного в </w:t>
      </w:r>
      <w:hyperlink w:anchor="P101" w:history="1">
        <w:r>
          <w:rPr>
            <w:color w:val="0000FF"/>
          </w:rPr>
          <w:t>пункте 4.3</w:t>
        </w:r>
      </w:hyperlink>
      <w:r>
        <w:t xml:space="preserve"> настоящего Порядка, отражение договорных обязательств на новом лицевом счете производится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на основании </w:t>
      </w:r>
      <w:hyperlink w:anchor="P704" w:history="1">
        <w:r>
          <w:rPr>
            <w:color w:val="0000FF"/>
          </w:rPr>
          <w:t>уведомления</w:t>
        </w:r>
      </w:hyperlink>
      <w:r>
        <w:t xml:space="preserve"> об уточнении аналитических кодов (далее - уведомление) по форме согласно приложению 5 к настоящему Порядку.</w:t>
      </w:r>
      <w:proofErr w:type="gramEnd"/>
      <w:r>
        <w:t xml:space="preserve"> Уведомление представляется клиентом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с ЭП, а в случае отсутствия или невозможности применения ЭП - в электронном виде в АС "Бюджет" и на бумажном носителе.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5" w:name="P101"/>
      <w:bookmarkEnd w:id="5"/>
      <w:r>
        <w:t xml:space="preserve">4.3. </w:t>
      </w:r>
      <w:proofErr w:type="gramStart"/>
      <w:r>
        <w:t xml:space="preserve">В случае изменения номера лицевого счета государственного бюджетного (автономного) учреждения в связи с созданием казенного учреждения Самарской области путем изменения типа учреждения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267" w:history="1">
        <w:r>
          <w:rPr>
            <w:color w:val="0000FF"/>
          </w:rPr>
          <w:t>расшифровку</w:t>
        </w:r>
      </w:hyperlink>
      <w:r>
        <w:t xml:space="preserve"> к изменениям договорных обязательств по форме согласно приложению 2 к настоящему Порядку, в которой сумма договорных обязательств на текущий финансовый год должна быть не менее суммы произведенных перечислений по</w:t>
      </w:r>
      <w:proofErr w:type="gramEnd"/>
      <w:r>
        <w:t xml:space="preserve"> данному договорному обязательству в текущем финансовом году.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4.4. При изменении номера лицевого счета клиент направляет в адрес контрагента извещение об изменении реквизитов плательщика.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Title"/>
        <w:jc w:val="center"/>
        <w:outlineLvl w:val="1"/>
      </w:pPr>
      <w:r>
        <w:t xml:space="preserve">5. Учет исполнения договорных обязательств в </w:t>
      </w:r>
      <w:proofErr w:type="gramStart"/>
      <w:r>
        <w:t>текущем</w:t>
      </w:r>
      <w:proofErr w:type="gramEnd"/>
    </w:p>
    <w:p w:rsidR="00D102B3" w:rsidRDefault="00D102B3">
      <w:pPr>
        <w:pStyle w:val="ConsPlusTitle"/>
        <w:jc w:val="center"/>
      </w:pPr>
      <w:proofErr w:type="gramStart"/>
      <w:r>
        <w:t>финансовом году</w:t>
      </w:r>
      <w:proofErr w:type="gramEnd"/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Для обеспечения учета исполнения договорного обязательства в текущем финансовом году в распоряжениях о совершении казначейских платежей, представленных в виде платежных поручений (далее - распоряжение), в поле "Назначение платежа" клиентом дополнительно указывается учетный номер договорного обязательства, присвоенный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отделом, код Федерального казначейства и код целевой статьи расходов бюджета, в случаях, указанных в </w:t>
      </w:r>
      <w:hyperlink w:anchor="P65" w:history="1">
        <w:r>
          <w:rPr>
            <w:color w:val="0000FF"/>
          </w:rPr>
          <w:t>абзацах 3</w:t>
        </w:r>
      </w:hyperlink>
      <w:r>
        <w:t xml:space="preserve"> и </w:t>
      </w:r>
      <w:hyperlink w:anchor="P66" w:history="1">
        <w:r>
          <w:rPr>
            <w:color w:val="0000FF"/>
          </w:rPr>
          <w:t>4 пункта 2.1</w:t>
        </w:r>
      </w:hyperlink>
      <w:r>
        <w:t xml:space="preserve"> настоящего</w:t>
      </w:r>
      <w:proofErr w:type="gramEnd"/>
      <w:r>
        <w:t xml:space="preserve"> Порядка. Распоряжения оформляются в соответствии с требованиями </w:t>
      </w:r>
      <w:hyperlink r:id="rId22" w:history="1">
        <w:r>
          <w:rPr>
            <w:color w:val="0000FF"/>
          </w:rPr>
          <w:t>приказа</w:t>
        </w:r>
      </w:hyperlink>
      <w:r>
        <w:t xml:space="preserve"> Казначейства России от 14.05.2020 N 21н "О Порядке казначейского обслуживания", установленными для бюджетных (автономных) учреждений или, соответственно, юридических лиц, не являющихся участниками бюджетного процесса, бюджетными и автономными учреждениями, и настоящим Порядком.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5.2. Объем неисполненного договорного обязательства на текущий финансовый год рассчитывается как разница объема принятого на учет договорного </w:t>
      </w:r>
      <w:proofErr w:type="gramStart"/>
      <w:r>
        <w:t>обязательства</w:t>
      </w:r>
      <w:proofErr w:type="gramEnd"/>
      <w:r>
        <w:t xml:space="preserve"> на текущий финансовый год и объема перечислений с учетом возвратов средств по этому обязательству.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5.3. </w:t>
      </w:r>
      <w:proofErr w:type="gramStart"/>
      <w:r>
        <w:t xml:space="preserve">При необходимости внесения изменений в аналитические коды в исполненных распоряжениях клиента в текущем финансовом году исправительные записи осуществляются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на основании </w:t>
      </w:r>
      <w:hyperlink w:anchor="P704" w:history="1">
        <w:r>
          <w:rPr>
            <w:color w:val="0000FF"/>
          </w:rPr>
          <w:t>уведомлений</w:t>
        </w:r>
      </w:hyperlink>
      <w:r>
        <w:t>, представленных клиентом в электронном виде в АС "Бюджет" с ЭП, а в случае отсутствия или невозможности применения ЭП - в электронном виде в АС "Бюджет" и на бумажном носителе, по форме согласно приложению 5 к</w:t>
      </w:r>
      <w:proofErr w:type="gramEnd"/>
      <w:r>
        <w:t xml:space="preserve"> настоящему Порядку, заполненных с учетом требований </w:t>
      </w:r>
      <w:hyperlink w:anchor="P65" w:history="1">
        <w:r>
          <w:rPr>
            <w:color w:val="0000FF"/>
          </w:rPr>
          <w:t>абзацев 3</w:t>
        </w:r>
      </w:hyperlink>
      <w:r>
        <w:t xml:space="preserve"> и </w:t>
      </w:r>
      <w:hyperlink w:anchor="P66" w:history="1">
        <w:r>
          <w:rPr>
            <w:color w:val="0000FF"/>
          </w:rPr>
          <w:t>4 пункта 2.1</w:t>
        </w:r>
      </w:hyperlink>
      <w:r>
        <w:t xml:space="preserve"> настоящего Порядка.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Клиент одновременно с уведомлением, указанным в </w:t>
      </w:r>
      <w:hyperlink w:anchor="P109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электронную копию письма о причинах изменения аналитических кодов, подписанного руководителем (иным лицом, имеющим право первой подписи в соответствии с карточкой) клиента и заверенного оттиском его печати, созданную посредством сканирования, с использованием АС "Бюджет".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Title"/>
        <w:jc w:val="center"/>
        <w:outlineLvl w:val="1"/>
      </w:pPr>
      <w:bookmarkStart w:id="7" w:name="P112"/>
      <w:bookmarkEnd w:id="7"/>
      <w:r>
        <w:t>6. Переучет неисполненных договорных обязательств</w:t>
      </w:r>
    </w:p>
    <w:p w:rsidR="00D102B3" w:rsidRDefault="00D102B3">
      <w:pPr>
        <w:pStyle w:val="ConsPlusTitle"/>
        <w:jc w:val="center"/>
      </w:pPr>
      <w:r>
        <w:t>по договорам, заключенным на срок, не превышающий</w:t>
      </w:r>
    </w:p>
    <w:p w:rsidR="00D102B3" w:rsidRDefault="00D102B3">
      <w:pPr>
        <w:pStyle w:val="ConsPlusTitle"/>
        <w:jc w:val="center"/>
      </w:pPr>
      <w:r>
        <w:t>финансовый год, по окончании финансового года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Для переучета неисполненных договорных обязательств, за исключением случая, предусмотренного в </w:t>
      </w:r>
      <w:hyperlink w:anchor="P117" w:history="1">
        <w:r>
          <w:rPr>
            <w:color w:val="0000FF"/>
          </w:rPr>
          <w:t>п. 6.2</w:t>
        </w:r>
      </w:hyperlink>
      <w:r>
        <w:t xml:space="preserve"> настоящего Порядка, клиенты в текущем финансовом году представляют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дополнительную </w:t>
      </w:r>
      <w:hyperlink w:anchor="P839" w:history="1">
        <w:r>
          <w:rPr>
            <w:color w:val="0000FF"/>
          </w:rPr>
          <w:t>расшифровку</w:t>
        </w:r>
      </w:hyperlink>
      <w:r>
        <w:t xml:space="preserve"> к договорному обязательству по форме согласно приложению 6 к настоящему Порядку, заполненную с учетом требований </w:t>
      </w:r>
      <w:hyperlink w:anchor="P65" w:history="1">
        <w:r>
          <w:rPr>
            <w:color w:val="0000FF"/>
          </w:rPr>
          <w:t>абзацев 3</w:t>
        </w:r>
      </w:hyperlink>
      <w:r>
        <w:t xml:space="preserve"> и </w:t>
      </w:r>
      <w:hyperlink w:anchor="P66" w:history="1">
        <w:r>
          <w:rPr>
            <w:color w:val="0000FF"/>
          </w:rPr>
          <w:t>4 пункта 2.1</w:t>
        </w:r>
      </w:hyperlink>
      <w:r>
        <w:t xml:space="preserve"> настоящего Порядка, в течение десяти рабочих дней с момента отражения на</w:t>
      </w:r>
      <w:proofErr w:type="gramEnd"/>
      <w:r>
        <w:t xml:space="preserve"> </w:t>
      </w:r>
      <w:proofErr w:type="gramStart"/>
      <w:r>
        <w:t xml:space="preserve">лицевых счетах клиентов достаточного объема свободного остатка планируемых расходов за счет субсидий на </w:t>
      </w:r>
      <w:proofErr w:type="spellStart"/>
      <w:r>
        <w:t>госзадание</w:t>
      </w:r>
      <w:proofErr w:type="spellEnd"/>
      <w:r>
        <w:t>, целевых (капитальных) расходов, расходов за счет грантов в форме субсидий, расходов за счет средств ОМС.</w:t>
      </w:r>
      <w:proofErr w:type="gramEnd"/>
    </w:p>
    <w:p w:rsidR="00D102B3" w:rsidRDefault="00D102B3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6.2. </w:t>
      </w:r>
      <w:proofErr w:type="gramStart"/>
      <w:r>
        <w:t xml:space="preserve">При заключении дополнительного соглашения к договору для переучета неисполненных договорных обязательств клиенты представляют дополнительную </w:t>
      </w:r>
      <w:hyperlink w:anchor="P962" w:history="1">
        <w:r>
          <w:rPr>
            <w:color w:val="0000FF"/>
          </w:rPr>
          <w:t>расшифровку</w:t>
        </w:r>
      </w:hyperlink>
      <w:r>
        <w:t xml:space="preserve"> к измененному договорному обязательству по форме согласно приложению 7 к настоящему Порядку, заполненную с учетом требований </w:t>
      </w:r>
      <w:hyperlink w:anchor="P65" w:history="1">
        <w:r>
          <w:rPr>
            <w:color w:val="0000FF"/>
          </w:rPr>
          <w:t>абзацев 3</w:t>
        </w:r>
      </w:hyperlink>
      <w:r>
        <w:t xml:space="preserve"> и </w:t>
      </w:r>
      <w:hyperlink w:anchor="P66" w:history="1">
        <w:r>
          <w:rPr>
            <w:color w:val="0000FF"/>
          </w:rPr>
          <w:t>4 пункта 2.1</w:t>
        </w:r>
      </w:hyperlink>
      <w:r>
        <w:t xml:space="preserve"> настоящего Порядка, в течение десяти рабочих дней с момента отражения на лицевых счетах клиентов достаточного объема свободного остатка планируемых расходов за счет субсидий</w:t>
      </w:r>
      <w:proofErr w:type="gramEnd"/>
      <w:r>
        <w:t xml:space="preserve"> на </w:t>
      </w:r>
      <w:proofErr w:type="spellStart"/>
      <w:r>
        <w:t>госзадание</w:t>
      </w:r>
      <w:proofErr w:type="spellEnd"/>
      <w:r>
        <w:t>, целевых (капитальных) расходов, расходов за счет грантов в форме субсидий, расходов за счет средств ОМС.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В дополнительной расшифровке к договорному обязательству и дополнительной расшифровке к измененному договорному обязательству указывается сумма неисполненного договорного обязательства, подлежащая оплате за счет субсидий на </w:t>
      </w:r>
      <w:proofErr w:type="spellStart"/>
      <w:r>
        <w:t>госзадание</w:t>
      </w:r>
      <w:proofErr w:type="spellEnd"/>
      <w:r>
        <w:t>, целевых субсидий, субсидий на капитальные вложения, грантов в форме субсидий, средств ОМС в текущем финансовом году, а также учетный номер незавершенного договорного обязательства в отчетном финансовом году.</w:t>
      </w:r>
      <w:proofErr w:type="gramEnd"/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Title"/>
        <w:jc w:val="center"/>
        <w:outlineLvl w:val="1"/>
      </w:pPr>
      <w:r>
        <w:t>7. Учет договорных обязательств по договорам, заключенным</w:t>
      </w:r>
    </w:p>
    <w:p w:rsidR="00D102B3" w:rsidRDefault="00D102B3">
      <w:pPr>
        <w:pStyle w:val="ConsPlusTitle"/>
        <w:jc w:val="center"/>
      </w:pPr>
      <w:r>
        <w:t>на срок более одного года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 xml:space="preserve">7.1. Договорные обязательства по договорам, заключенным на срок более одного года, учитываются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в пределах обязательств, принятых клиентом на текущий финансовый год.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7.2. </w:t>
      </w:r>
      <w:proofErr w:type="gramStart"/>
      <w:r>
        <w:t xml:space="preserve">В очередном финансовом году при наличии неисполненного договорного обязательства по текущему финансовому году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дополнительную </w:t>
      </w:r>
      <w:hyperlink w:anchor="P839" w:history="1">
        <w:r>
          <w:rPr>
            <w:color w:val="0000FF"/>
          </w:rPr>
          <w:t>расшифровку</w:t>
        </w:r>
      </w:hyperlink>
      <w:r>
        <w:t xml:space="preserve"> к договорному обязательству по форме согласно приложению 6 к настоящему Порядку, а в случае заключения дополнительного соглашения к договору - дополнительную </w:t>
      </w:r>
      <w:hyperlink w:anchor="P962" w:history="1">
        <w:r>
          <w:rPr>
            <w:color w:val="0000FF"/>
          </w:rPr>
          <w:t>расшифровку</w:t>
        </w:r>
      </w:hyperlink>
      <w:r>
        <w:t xml:space="preserve"> к измененному договорному обязательству по форме согласно приложению 7 к настоящему Порядку, заполненную в соответствии с</w:t>
      </w:r>
      <w:proofErr w:type="gramEnd"/>
      <w:r>
        <w:t xml:space="preserve"> условиями договора в пределах объема свободного остатка планируемых расходов за счет субсидий на </w:t>
      </w:r>
      <w:proofErr w:type="spellStart"/>
      <w:r>
        <w:t>госзадание</w:t>
      </w:r>
      <w:proofErr w:type="spellEnd"/>
      <w:r>
        <w:t>, целевых (капитальных) расходов, расходов за счет грантов в форме субсидий, расходов за счет средств ОМС.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24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представляются клиентом не позднее десяти рабочих дней с момента отражения на лицевом счете клиента достаточного объема свободного остатка планируемых расходов за счет субсидий на </w:t>
      </w:r>
      <w:proofErr w:type="spellStart"/>
      <w:r>
        <w:t>госзадание</w:t>
      </w:r>
      <w:proofErr w:type="spellEnd"/>
      <w:r>
        <w:t>, целевых (капитальных) расходов, расходов за счет грантов в форме субсидий, расходов за счет средств ОМС.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 xml:space="preserve">Переучет неисполненных договорных обязательств по договорам, указанным в настоящем разделе, после завершения срока исполнения договора осуществляется в следующем </w:t>
      </w:r>
      <w:r>
        <w:lastRenderedPageBreak/>
        <w:t xml:space="preserve">финансовом году в пределах объема свободного остатка планируемых расходов за счет субсидий на </w:t>
      </w:r>
      <w:proofErr w:type="spellStart"/>
      <w:r>
        <w:t>госзадание</w:t>
      </w:r>
      <w:proofErr w:type="spellEnd"/>
      <w:r>
        <w:t xml:space="preserve">, целевых (капитальных) расходов, расходов за счет грантов в форме субсидий, расходов за счет средств ОМС текущего финансового года в соответствии с </w:t>
      </w:r>
      <w:hyperlink w:anchor="P112" w:history="1">
        <w:r>
          <w:rPr>
            <w:color w:val="0000FF"/>
          </w:rPr>
          <w:t>разделом 6</w:t>
        </w:r>
      </w:hyperlink>
      <w:r>
        <w:t xml:space="preserve"> настоящего Порядка.</w:t>
      </w:r>
      <w:proofErr w:type="gramEnd"/>
    </w:p>
    <w:p w:rsidR="00D102B3" w:rsidRDefault="00D102B3">
      <w:pPr>
        <w:pStyle w:val="ConsPlusNormal"/>
        <w:spacing w:before="220"/>
        <w:ind w:firstLine="540"/>
        <w:jc w:val="both"/>
      </w:pPr>
      <w:r>
        <w:t xml:space="preserve">7.4.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осуществляют учет исполнения договорных обязательств по договорам, указанным в настоящем разделе, в период всего срока их действия.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Title"/>
        <w:jc w:val="center"/>
        <w:outlineLvl w:val="1"/>
      </w:pPr>
      <w:r>
        <w:t>8. Порядок составления отчетности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bookmarkStart w:id="10" w:name="P131"/>
      <w:bookmarkEnd w:id="10"/>
      <w:r>
        <w:t xml:space="preserve">8.1. Управление </w:t>
      </w:r>
      <w:proofErr w:type="spellStart"/>
      <w:r>
        <w:t>предконтроля</w:t>
      </w:r>
      <w:proofErr w:type="spellEnd"/>
      <w:r>
        <w:t xml:space="preserve"> и территориальные отделы ежемесячно, не позднее третьего рабочего дня месяца, следующего за отчетным, осуществляют с клиентами сверку поставленных на учет и оплаченных договорных обязательств по кодам бюджетной классификации и аналитическим </w:t>
      </w:r>
      <w:proofErr w:type="gramStart"/>
      <w:r>
        <w:t>кодам</w:t>
      </w:r>
      <w:proofErr w:type="gramEnd"/>
      <w:r>
        <w:t xml:space="preserve"> нарастающим итогом с начала финансового года на основании справки об остатках субсидий на </w:t>
      </w:r>
      <w:proofErr w:type="spellStart"/>
      <w:r>
        <w:t>госзадание</w:t>
      </w:r>
      <w:proofErr w:type="spellEnd"/>
      <w:r>
        <w:t xml:space="preserve">, целевых субсидий, субсидий на капитальные вложения, грантов в форме субсидий, средств ОМС на текущий финансовый год и справки об исполнении принятых на учет договорных обязательств (далее - справки), направляемых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по формам, установленным министерством.</w:t>
      </w:r>
    </w:p>
    <w:p w:rsidR="00D102B3" w:rsidRDefault="00D102B3">
      <w:pPr>
        <w:pStyle w:val="ConsPlusNormal"/>
        <w:spacing w:before="220"/>
        <w:ind w:firstLine="540"/>
        <w:jc w:val="both"/>
      </w:pPr>
      <w:r>
        <w:t>8.2. При отсутствии в течение трех рабочих дней с момента направления справок письменных возражений со стороны клиента, направленных на имя руководителя департамента, информация, содержащаяся в справках, считается подтвержденной клиентом.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right"/>
        <w:outlineLvl w:val="1"/>
      </w:pPr>
      <w:r>
        <w:t>Приложение 1</w:t>
      </w:r>
    </w:p>
    <w:p w:rsidR="00D102B3" w:rsidRDefault="00D102B3">
      <w:pPr>
        <w:pStyle w:val="ConsPlusNormal"/>
        <w:jc w:val="right"/>
      </w:pPr>
      <w:r>
        <w:t>к Порядку</w:t>
      </w:r>
    </w:p>
    <w:p w:rsidR="00D102B3" w:rsidRDefault="00D102B3">
      <w:pPr>
        <w:pStyle w:val="ConsPlusNormal"/>
        <w:jc w:val="right"/>
      </w:pPr>
      <w:r>
        <w:t>учета обязательств, вытекающих из договоров</w:t>
      </w:r>
    </w:p>
    <w:p w:rsidR="00D102B3" w:rsidRDefault="00D102B3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бюджетными (автономными) учреждениями</w:t>
      </w:r>
    </w:p>
    <w:p w:rsidR="00D102B3" w:rsidRDefault="00D102B3">
      <w:pPr>
        <w:pStyle w:val="ConsPlusNormal"/>
        <w:jc w:val="right"/>
      </w:pPr>
      <w:r>
        <w:t xml:space="preserve">Самарской области и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унитарными предприятиями Самарской области</w:t>
      </w: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0"/>
        <w:gridCol w:w="795"/>
        <w:gridCol w:w="299"/>
        <w:gridCol w:w="870"/>
        <w:gridCol w:w="826"/>
        <w:gridCol w:w="270"/>
        <w:gridCol w:w="181"/>
        <w:gridCol w:w="449"/>
        <w:gridCol w:w="2442"/>
        <w:gridCol w:w="794"/>
      </w:tblGrid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bookmarkStart w:id="11" w:name="P146"/>
            <w:bookmarkEnd w:id="11"/>
            <w:r>
              <w:t>Расшифровка</w:t>
            </w:r>
          </w:p>
          <w:p w:rsidR="00D102B3" w:rsidRDefault="00D102B3">
            <w:pPr>
              <w:pStyle w:val="ConsPlusNormal"/>
              <w:jc w:val="center"/>
            </w:pPr>
            <w:r>
              <w:t>к договорному обязательству</w:t>
            </w:r>
          </w:p>
        </w:tc>
      </w:tr>
      <w:tr w:rsidR="00D102B3"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Наименование и номер лицевого счета клиента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Договор от "___" _______ 20___ г. N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Уникальный номер договора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Предмет договора</w:t>
            </w:r>
          </w:p>
        </w:tc>
        <w:tc>
          <w:tcPr>
            <w:tcW w:w="69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 xml:space="preserve">Срок действия договора </w:t>
            </w:r>
            <w:proofErr w:type="gramStart"/>
            <w:r>
              <w:t>с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ИНН, КПП, наименование поставщика (подрядчика, исполнителя), номер счета</w:t>
            </w:r>
          </w:p>
        </w:tc>
      </w:tr>
      <w:tr w:rsidR="00D102B3"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для перечисления средств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lastRenderedPageBreak/>
              <w:t>Условия оплаты (размер аванса, оплата по факту)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Способ определения поставщика (подрядчика, исполнителя)/Способ закупки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Общая сумма по договору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(в руб., с точностью до второго десятичного знака)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Сумма договора на текущий финансовый год, подлежащая постановке на учет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8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right"/>
            </w:pPr>
            <w:r>
              <w:t>в т.ч.: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sectPr w:rsidR="00D102B3" w:rsidSect="00400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4"/>
        <w:gridCol w:w="1044"/>
        <w:gridCol w:w="949"/>
        <w:gridCol w:w="831"/>
        <w:gridCol w:w="892"/>
        <w:gridCol w:w="1358"/>
        <w:gridCol w:w="1265"/>
        <w:gridCol w:w="1460"/>
        <w:gridCol w:w="1460"/>
        <w:gridCol w:w="1463"/>
        <w:gridCol w:w="1224"/>
        <w:gridCol w:w="1341"/>
      </w:tblGrid>
      <w:tr w:rsidR="00D102B3">
        <w:tc>
          <w:tcPr>
            <w:tcW w:w="3397" w:type="dxa"/>
            <w:gridSpan w:val="3"/>
          </w:tcPr>
          <w:p w:rsidR="00D102B3" w:rsidRDefault="00D102B3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8729" w:type="dxa"/>
            <w:gridSpan w:val="7"/>
          </w:tcPr>
          <w:p w:rsidR="00D102B3" w:rsidRDefault="00D102B3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224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41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Номер договорного обязательства</w:t>
            </w:r>
          </w:p>
        </w:tc>
      </w:tr>
      <w:tr w:rsidR="00D102B3">
        <w:tc>
          <w:tcPr>
            <w:tcW w:w="1404" w:type="dxa"/>
          </w:tcPr>
          <w:p w:rsidR="00D102B3" w:rsidRDefault="00D102B3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1044" w:type="dxa"/>
          </w:tcPr>
          <w:p w:rsidR="00D102B3" w:rsidRDefault="00D102B3">
            <w:pPr>
              <w:pStyle w:val="ConsPlusNormal"/>
              <w:jc w:val="center"/>
            </w:pPr>
            <w:r>
              <w:t xml:space="preserve">Код целевой статьи расходов </w:t>
            </w:r>
            <w:hyperlink w:anchor="P2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49" w:type="dxa"/>
          </w:tcPr>
          <w:p w:rsidR="00D102B3" w:rsidRDefault="00D102B3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831" w:type="dxa"/>
          </w:tcPr>
          <w:p w:rsidR="00D102B3" w:rsidRDefault="00D102B3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892" w:type="dxa"/>
          </w:tcPr>
          <w:p w:rsidR="00D102B3" w:rsidRDefault="00D102B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358" w:type="dxa"/>
          </w:tcPr>
          <w:p w:rsidR="00D102B3" w:rsidRDefault="00D102B3">
            <w:pPr>
              <w:pStyle w:val="ConsPlusNormal"/>
              <w:jc w:val="center"/>
            </w:pPr>
            <w:r>
              <w:t>Код Федерального казначейства</w:t>
            </w:r>
          </w:p>
        </w:tc>
        <w:tc>
          <w:tcPr>
            <w:tcW w:w="1265" w:type="dxa"/>
          </w:tcPr>
          <w:p w:rsidR="00D102B3" w:rsidRDefault="00D102B3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460" w:type="dxa"/>
          </w:tcPr>
          <w:p w:rsidR="00D102B3" w:rsidRDefault="00D102B3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460" w:type="dxa"/>
          </w:tcPr>
          <w:p w:rsidR="00D102B3" w:rsidRDefault="00D102B3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463" w:type="dxa"/>
          </w:tcPr>
          <w:p w:rsidR="00D102B3" w:rsidRDefault="00D102B3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224" w:type="dxa"/>
            <w:vMerge/>
          </w:tcPr>
          <w:p w:rsidR="00D102B3" w:rsidRDefault="00D102B3"/>
        </w:tc>
        <w:tc>
          <w:tcPr>
            <w:tcW w:w="1341" w:type="dxa"/>
            <w:vMerge/>
          </w:tcPr>
          <w:p w:rsidR="00D102B3" w:rsidRDefault="00D102B3"/>
        </w:tc>
      </w:tr>
      <w:tr w:rsidR="00D102B3">
        <w:tc>
          <w:tcPr>
            <w:tcW w:w="140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04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4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31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9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58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65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460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460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46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41" w:type="dxa"/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140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04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4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31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9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58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65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460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460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46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41" w:type="dxa"/>
          </w:tcPr>
          <w:p w:rsidR="00D102B3" w:rsidRDefault="00D102B3">
            <w:pPr>
              <w:pStyle w:val="ConsPlusNormal"/>
            </w:pPr>
          </w:p>
        </w:tc>
      </w:tr>
    </w:tbl>
    <w:p w:rsidR="00D102B3" w:rsidRDefault="00D102B3">
      <w:pPr>
        <w:sectPr w:rsidR="00D102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1699"/>
        <w:gridCol w:w="340"/>
        <w:gridCol w:w="3118"/>
      </w:tblGrid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Руководитель учреждения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Гл. бухгалтер учреждения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М.П.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  <w:p w:rsidR="00D102B3" w:rsidRDefault="00D102B3">
            <w:pPr>
              <w:pStyle w:val="ConsPlusNormal"/>
              <w:jc w:val="both"/>
            </w:pPr>
            <w:r>
              <w:t>Дата представления "___" _________ 20___ г.</w:t>
            </w:r>
          </w:p>
          <w:p w:rsidR="00D102B3" w:rsidRDefault="00D102B3">
            <w:pPr>
              <w:pStyle w:val="ConsPlusNormal"/>
              <w:jc w:val="both"/>
            </w:pPr>
            <w:r>
              <w:t>Договор не принят на учет</w:t>
            </w:r>
          </w:p>
          <w:p w:rsidR="00D102B3" w:rsidRDefault="00D102B3">
            <w:pPr>
              <w:pStyle w:val="ConsPlusNormal"/>
              <w:jc w:val="both"/>
            </w:pPr>
            <w:r>
              <w:t xml:space="preserve">Договор принят на </w:t>
            </w:r>
            <w:proofErr w:type="gramStart"/>
            <w:r>
              <w:t>учет</w:t>
            </w:r>
            <w:proofErr w:type="gramEnd"/>
            <w:r>
              <w:t xml:space="preserve"> на ______ год.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Дата "___" _________ 20____ г.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>--------------------------------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12" w:name="P253"/>
      <w:bookmarkEnd w:id="12"/>
      <w:r>
        <w:t>&lt;*&gt; 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right"/>
        <w:outlineLvl w:val="1"/>
      </w:pPr>
      <w:r>
        <w:t>Приложение 2</w:t>
      </w:r>
    </w:p>
    <w:p w:rsidR="00D102B3" w:rsidRDefault="00D102B3">
      <w:pPr>
        <w:pStyle w:val="ConsPlusNormal"/>
        <w:jc w:val="right"/>
      </w:pPr>
      <w:r>
        <w:t>к Порядку</w:t>
      </w:r>
    </w:p>
    <w:p w:rsidR="00D102B3" w:rsidRDefault="00D102B3">
      <w:pPr>
        <w:pStyle w:val="ConsPlusNormal"/>
        <w:jc w:val="right"/>
      </w:pPr>
      <w:r>
        <w:t>учета обязательств, вытекающих из договоров</w:t>
      </w:r>
    </w:p>
    <w:p w:rsidR="00D102B3" w:rsidRDefault="00D102B3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бюджетными (автономными) учреждениями</w:t>
      </w:r>
    </w:p>
    <w:p w:rsidR="00D102B3" w:rsidRDefault="00D102B3">
      <w:pPr>
        <w:pStyle w:val="ConsPlusNormal"/>
        <w:jc w:val="right"/>
      </w:pPr>
      <w:r>
        <w:t xml:space="preserve">Самарской области и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унитарными предприятиями Самарской области</w:t>
      </w: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765"/>
        <w:gridCol w:w="299"/>
        <w:gridCol w:w="870"/>
        <w:gridCol w:w="826"/>
        <w:gridCol w:w="270"/>
        <w:gridCol w:w="181"/>
        <w:gridCol w:w="449"/>
        <w:gridCol w:w="134"/>
        <w:gridCol w:w="1453"/>
        <w:gridCol w:w="480"/>
        <w:gridCol w:w="375"/>
        <w:gridCol w:w="794"/>
      </w:tblGrid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bookmarkStart w:id="13" w:name="P267"/>
            <w:bookmarkEnd w:id="13"/>
            <w:r>
              <w:t>Расшифровка</w:t>
            </w:r>
          </w:p>
          <w:p w:rsidR="00D102B3" w:rsidRDefault="00D102B3">
            <w:pPr>
              <w:pStyle w:val="ConsPlusNormal"/>
              <w:jc w:val="center"/>
            </w:pPr>
            <w:r>
              <w:t>к изменениям договорного обязательства</w:t>
            </w:r>
          </w:p>
        </w:tc>
      </w:tr>
      <w:tr w:rsidR="00D102B3"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Наименование и номер лицевого счета клиента</w:t>
            </w:r>
          </w:p>
        </w:tc>
        <w:tc>
          <w:tcPr>
            <w:tcW w:w="3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Договор от "___" _______ 20___ г. N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lastRenderedPageBreak/>
              <w:t>Уникальный номер договора</w:t>
            </w:r>
          </w:p>
        </w:tc>
        <w:tc>
          <w:tcPr>
            <w:tcW w:w="58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 xml:space="preserve">Основание изменения информации об обязательстве </w:t>
            </w:r>
            <w:proofErr w:type="gramStart"/>
            <w:r>
              <w:t>от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Изменившаяся информация об обязательстве</w:t>
            </w:r>
          </w:p>
        </w:tc>
        <w:tc>
          <w:tcPr>
            <w:tcW w:w="4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Предмет договора</w:t>
            </w:r>
          </w:p>
        </w:tc>
        <w:tc>
          <w:tcPr>
            <w:tcW w:w="68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 xml:space="preserve">Срок действия договора </w:t>
            </w:r>
            <w:proofErr w:type="gramStart"/>
            <w:r>
              <w:t>с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ИНН, КПП, наименование поставщика (подрядчика, исполнителя), номер счета</w:t>
            </w:r>
          </w:p>
        </w:tc>
      </w:tr>
      <w:tr w:rsidR="00D102B3"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для перечисления средств</w:t>
            </w:r>
          </w:p>
        </w:tc>
        <w:tc>
          <w:tcPr>
            <w:tcW w:w="6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Условия оплаты (размер аванса, оплата по факту)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Способ определения поставщика (подрядчика, исполнителя)/Способ закупки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Общая сумма по договору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(в руб., с точностью до второго десятичного знака)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Сумма договора на текущий финансовый год, подлежащая постановке на учет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82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right"/>
            </w:pPr>
            <w:r>
              <w:t>в т.ч.: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sectPr w:rsidR="00D102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4"/>
        <w:gridCol w:w="959"/>
        <w:gridCol w:w="874"/>
        <w:gridCol w:w="769"/>
        <w:gridCol w:w="823"/>
        <w:gridCol w:w="1243"/>
        <w:gridCol w:w="1159"/>
        <w:gridCol w:w="1334"/>
        <w:gridCol w:w="1334"/>
        <w:gridCol w:w="1336"/>
        <w:gridCol w:w="1122"/>
        <w:gridCol w:w="1227"/>
        <w:gridCol w:w="1227"/>
      </w:tblGrid>
      <w:tr w:rsidR="00D102B3">
        <w:tc>
          <w:tcPr>
            <w:tcW w:w="3117" w:type="dxa"/>
            <w:gridSpan w:val="3"/>
          </w:tcPr>
          <w:p w:rsidR="00D102B3" w:rsidRDefault="00D102B3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7998" w:type="dxa"/>
            <w:gridSpan w:val="7"/>
          </w:tcPr>
          <w:p w:rsidR="00D102B3" w:rsidRDefault="00D102B3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122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27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Предыдущий номер договорного обязательства</w:t>
            </w:r>
          </w:p>
        </w:tc>
        <w:tc>
          <w:tcPr>
            <w:tcW w:w="1227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Номер договорного обязательства</w:t>
            </w:r>
          </w:p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959" w:type="dxa"/>
          </w:tcPr>
          <w:p w:rsidR="00D102B3" w:rsidRDefault="00D102B3">
            <w:pPr>
              <w:pStyle w:val="ConsPlusNormal"/>
              <w:jc w:val="center"/>
            </w:pPr>
            <w:r>
              <w:t xml:space="preserve">Код целевой статьи расходов </w:t>
            </w:r>
            <w:hyperlink w:anchor="P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4" w:type="dxa"/>
          </w:tcPr>
          <w:p w:rsidR="00D102B3" w:rsidRDefault="00D102B3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769" w:type="dxa"/>
          </w:tcPr>
          <w:p w:rsidR="00D102B3" w:rsidRDefault="00D102B3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823" w:type="dxa"/>
          </w:tcPr>
          <w:p w:rsidR="00D102B3" w:rsidRDefault="00D102B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243" w:type="dxa"/>
          </w:tcPr>
          <w:p w:rsidR="00D102B3" w:rsidRDefault="00D102B3">
            <w:pPr>
              <w:pStyle w:val="ConsPlusNormal"/>
              <w:jc w:val="center"/>
            </w:pPr>
            <w:r>
              <w:t>Код Федерального казначейства</w:t>
            </w:r>
          </w:p>
        </w:tc>
        <w:tc>
          <w:tcPr>
            <w:tcW w:w="1159" w:type="dxa"/>
          </w:tcPr>
          <w:p w:rsidR="00D102B3" w:rsidRDefault="00D102B3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334" w:type="dxa"/>
          </w:tcPr>
          <w:p w:rsidR="00D102B3" w:rsidRDefault="00D102B3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334" w:type="dxa"/>
          </w:tcPr>
          <w:p w:rsidR="00D102B3" w:rsidRDefault="00D102B3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336" w:type="dxa"/>
          </w:tcPr>
          <w:p w:rsidR="00D102B3" w:rsidRDefault="00D102B3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122" w:type="dxa"/>
            <w:vMerge/>
          </w:tcPr>
          <w:p w:rsidR="00D102B3" w:rsidRDefault="00D102B3"/>
        </w:tc>
        <w:tc>
          <w:tcPr>
            <w:tcW w:w="1227" w:type="dxa"/>
            <w:vMerge/>
          </w:tcPr>
          <w:p w:rsidR="00D102B3" w:rsidRDefault="00D102B3"/>
        </w:tc>
        <w:tc>
          <w:tcPr>
            <w:tcW w:w="1227" w:type="dxa"/>
            <w:vMerge/>
          </w:tcPr>
          <w:p w:rsidR="00D102B3" w:rsidRDefault="00D102B3"/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7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2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4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2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7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2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4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2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</w:tr>
    </w:tbl>
    <w:p w:rsidR="00D102B3" w:rsidRDefault="00D102B3">
      <w:pPr>
        <w:sectPr w:rsidR="00D102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1699"/>
        <w:gridCol w:w="340"/>
        <w:gridCol w:w="3118"/>
      </w:tblGrid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Руководитель клиента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Гл. бухгалтер клиента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М.П.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  <w:p w:rsidR="00D102B3" w:rsidRDefault="00D102B3">
            <w:pPr>
              <w:pStyle w:val="ConsPlusNormal"/>
              <w:jc w:val="both"/>
            </w:pPr>
            <w:r>
              <w:t>Дата представления "___" _________ 20___ г.</w:t>
            </w:r>
          </w:p>
          <w:p w:rsidR="00D102B3" w:rsidRDefault="00D102B3">
            <w:pPr>
              <w:pStyle w:val="ConsPlusNormal"/>
              <w:jc w:val="both"/>
            </w:pPr>
            <w:r>
              <w:t>Договор не принят на учет.</w:t>
            </w:r>
          </w:p>
          <w:p w:rsidR="00D102B3" w:rsidRDefault="00D102B3">
            <w:pPr>
              <w:pStyle w:val="ConsPlusNormal"/>
              <w:jc w:val="both"/>
            </w:pPr>
            <w:r>
              <w:t xml:space="preserve">Договор принят на </w:t>
            </w:r>
            <w:proofErr w:type="gramStart"/>
            <w:r>
              <w:t>учет</w:t>
            </w:r>
            <w:proofErr w:type="gramEnd"/>
            <w:r>
              <w:t xml:space="preserve"> на ______ год.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Дата "___" _________ 20____ г.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>--------------------------------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14" w:name="P383"/>
      <w:bookmarkEnd w:id="14"/>
      <w:r>
        <w:t>&lt;*&gt; 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right"/>
        <w:outlineLvl w:val="1"/>
      </w:pPr>
      <w:r>
        <w:t>Приложение 3</w:t>
      </w:r>
    </w:p>
    <w:p w:rsidR="00D102B3" w:rsidRDefault="00D102B3">
      <w:pPr>
        <w:pStyle w:val="ConsPlusNormal"/>
        <w:jc w:val="right"/>
      </w:pPr>
      <w:r>
        <w:t>к Порядку</w:t>
      </w:r>
    </w:p>
    <w:p w:rsidR="00D102B3" w:rsidRDefault="00D102B3">
      <w:pPr>
        <w:pStyle w:val="ConsPlusNormal"/>
        <w:jc w:val="right"/>
      </w:pPr>
      <w:r>
        <w:t>учета обязательств, вытекающих из договоров</w:t>
      </w:r>
    </w:p>
    <w:p w:rsidR="00D102B3" w:rsidRDefault="00D102B3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бюджетными (автономными) учреждениями</w:t>
      </w:r>
    </w:p>
    <w:p w:rsidR="00D102B3" w:rsidRDefault="00D102B3">
      <w:pPr>
        <w:pStyle w:val="ConsPlusNormal"/>
        <w:jc w:val="right"/>
      </w:pPr>
      <w:r>
        <w:t xml:space="preserve">Самарской области и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унитарными предприятиями Самарской области</w:t>
      </w: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20"/>
        <w:gridCol w:w="795"/>
        <w:gridCol w:w="299"/>
        <w:gridCol w:w="870"/>
        <w:gridCol w:w="826"/>
        <w:gridCol w:w="270"/>
        <w:gridCol w:w="181"/>
        <w:gridCol w:w="449"/>
        <w:gridCol w:w="2442"/>
        <w:gridCol w:w="794"/>
      </w:tblGrid>
      <w:tr w:rsidR="00D102B3">
        <w:tc>
          <w:tcPr>
            <w:tcW w:w="9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bookmarkStart w:id="15" w:name="P397"/>
            <w:bookmarkEnd w:id="15"/>
            <w:r>
              <w:t>Расшифровка</w:t>
            </w:r>
          </w:p>
          <w:p w:rsidR="00D102B3" w:rsidRDefault="00D102B3">
            <w:pPr>
              <w:pStyle w:val="ConsPlusNormal"/>
              <w:jc w:val="center"/>
            </w:pPr>
            <w:r>
              <w:t>к прекращенному договорному обязательству</w:t>
            </w:r>
          </w:p>
        </w:tc>
      </w:tr>
      <w:tr w:rsidR="00D102B3">
        <w:tc>
          <w:tcPr>
            <w:tcW w:w="51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Наименование и номер лицевого счета клиента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Договор от "___" _______ 20___ г. N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Уникальный номер договора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lastRenderedPageBreak/>
              <w:t>Соглашение о расторжении (иной документ - основание прекращения обязательства)</w:t>
            </w:r>
          </w:p>
        </w:tc>
      </w:tr>
      <w:tr w:rsidR="00D102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от</w:t>
            </w:r>
          </w:p>
        </w:tc>
        <w:tc>
          <w:tcPr>
            <w:tcW w:w="85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N</w:t>
            </w:r>
          </w:p>
        </w:tc>
        <w:tc>
          <w:tcPr>
            <w:tcW w:w="8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Предмет договора</w:t>
            </w:r>
          </w:p>
        </w:tc>
        <w:tc>
          <w:tcPr>
            <w:tcW w:w="6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 xml:space="preserve">Срок действия договора </w:t>
            </w:r>
            <w:proofErr w:type="gramStart"/>
            <w:r>
              <w:t>с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ИНН, КПП, наименование поставщика (подрядчика, исполнителя), номер счета</w:t>
            </w:r>
          </w:p>
        </w:tc>
      </w:tr>
      <w:tr w:rsidR="00D102B3"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для перечисления средств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53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Условия оплаты (размер аванса, оплата по факту)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Способ определения поставщика (подрядчика, исполнителя)/Способ закупки</w:t>
            </w:r>
          </w:p>
        </w:tc>
      </w:tr>
      <w:tr w:rsidR="00D102B3">
        <w:tc>
          <w:tcPr>
            <w:tcW w:w="90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Общая сумма по договору</w:t>
            </w:r>
          </w:p>
        </w:tc>
      </w:tr>
      <w:tr w:rsidR="00D102B3">
        <w:tc>
          <w:tcPr>
            <w:tcW w:w="90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(в руб., с точностью до второго десятичного знака)</w:t>
            </w:r>
          </w:p>
        </w:tc>
      </w:tr>
      <w:tr w:rsidR="00D102B3">
        <w:tc>
          <w:tcPr>
            <w:tcW w:w="9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Сумма договора на текущий финансовый год, подлежащая постановке на учет</w:t>
            </w:r>
          </w:p>
        </w:tc>
      </w:tr>
      <w:tr w:rsidR="00D102B3">
        <w:tc>
          <w:tcPr>
            <w:tcW w:w="90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8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right"/>
            </w:pPr>
            <w:r>
              <w:t>в т.ч.:</w:t>
            </w:r>
          </w:p>
        </w:tc>
      </w:tr>
      <w:tr w:rsidR="00D102B3">
        <w:tc>
          <w:tcPr>
            <w:tcW w:w="9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sectPr w:rsidR="00D102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4"/>
        <w:gridCol w:w="959"/>
        <w:gridCol w:w="874"/>
        <w:gridCol w:w="769"/>
        <w:gridCol w:w="823"/>
        <w:gridCol w:w="1243"/>
        <w:gridCol w:w="1159"/>
        <w:gridCol w:w="1334"/>
        <w:gridCol w:w="1334"/>
        <w:gridCol w:w="1336"/>
        <w:gridCol w:w="1122"/>
        <w:gridCol w:w="1227"/>
        <w:gridCol w:w="1227"/>
      </w:tblGrid>
      <w:tr w:rsidR="00D102B3">
        <w:tc>
          <w:tcPr>
            <w:tcW w:w="3117" w:type="dxa"/>
            <w:gridSpan w:val="3"/>
          </w:tcPr>
          <w:p w:rsidR="00D102B3" w:rsidRDefault="00D102B3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7998" w:type="dxa"/>
            <w:gridSpan w:val="7"/>
          </w:tcPr>
          <w:p w:rsidR="00D102B3" w:rsidRDefault="00D102B3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122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27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Предыдущий номер договорного обязательства</w:t>
            </w:r>
          </w:p>
        </w:tc>
        <w:tc>
          <w:tcPr>
            <w:tcW w:w="1227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Номер договорного обязательства</w:t>
            </w:r>
          </w:p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959" w:type="dxa"/>
          </w:tcPr>
          <w:p w:rsidR="00D102B3" w:rsidRDefault="00D102B3">
            <w:pPr>
              <w:pStyle w:val="ConsPlusNormal"/>
              <w:jc w:val="center"/>
            </w:pPr>
            <w:r>
              <w:t xml:space="preserve">Код целевой статьи расходов </w:t>
            </w:r>
            <w:hyperlink w:anchor="P5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4" w:type="dxa"/>
          </w:tcPr>
          <w:p w:rsidR="00D102B3" w:rsidRDefault="00D102B3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769" w:type="dxa"/>
          </w:tcPr>
          <w:p w:rsidR="00D102B3" w:rsidRDefault="00D102B3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823" w:type="dxa"/>
          </w:tcPr>
          <w:p w:rsidR="00D102B3" w:rsidRDefault="00D102B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243" w:type="dxa"/>
          </w:tcPr>
          <w:p w:rsidR="00D102B3" w:rsidRDefault="00D102B3">
            <w:pPr>
              <w:pStyle w:val="ConsPlusNormal"/>
              <w:jc w:val="center"/>
            </w:pPr>
            <w:r>
              <w:t>Код Федерального казначейства</w:t>
            </w:r>
          </w:p>
        </w:tc>
        <w:tc>
          <w:tcPr>
            <w:tcW w:w="1159" w:type="dxa"/>
          </w:tcPr>
          <w:p w:rsidR="00D102B3" w:rsidRDefault="00D102B3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334" w:type="dxa"/>
          </w:tcPr>
          <w:p w:rsidR="00D102B3" w:rsidRDefault="00D102B3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334" w:type="dxa"/>
          </w:tcPr>
          <w:p w:rsidR="00D102B3" w:rsidRDefault="00D102B3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336" w:type="dxa"/>
          </w:tcPr>
          <w:p w:rsidR="00D102B3" w:rsidRDefault="00D102B3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122" w:type="dxa"/>
            <w:vMerge/>
          </w:tcPr>
          <w:p w:rsidR="00D102B3" w:rsidRDefault="00D102B3"/>
        </w:tc>
        <w:tc>
          <w:tcPr>
            <w:tcW w:w="1227" w:type="dxa"/>
            <w:vMerge/>
          </w:tcPr>
          <w:p w:rsidR="00D102B3" w:rsidRDefault="00D102B3"/>
        </w:tc>
        <w:tc>
          <w:tcPr>
            <w:tcW w:w="1227" w:type="dxa"/>
            <w:vMerge/>
          </w:tcPr>
          <w:p w:rsidR="00D102B3" w:rsidRDefault="00D102B3"/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7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2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4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2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7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2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4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2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</w:tr>
    </w:tbl>
    <w:p w:rsidR="00D102B3" w:rsidRDefault="00D102B3">
      <w:pPr>
        <w:sectPr w:rsidR="00D102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1699"/>
        <w:gridCol w:w="340"/>
        <w:gridCol w:w="3118"/>
      </w:tblGrid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Руководитель клиента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Гл. бухгалтер клиента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М.П.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  <w:p w:rsidR="00D102B3" w:rsidRDefault="00D102B3">
            <w:pPr>
              <w:pStyle w:val="ConsPlusNormal"/>
              <w:jc w:val="both"/>
            </w:pPr>
            <w:r>
              <w:t>Дата представления "___" _________ 20___ г.</w:t>
            </w:r>
          </w:p>
          <w:p w:rsidR="00D102B3" w:rsidRDefault="00D102B3">
            <w:pPr>
              <w:pStyle w:val="ConsPlusNormal"/>
              <w:jc w:val="both"/>
            </w:pPr>
            <w:r>
              <w:t>Договорное обязательство прекращено.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Дата "___" _________ 20____ г.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>--------------------------------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16" w:name="P511"/>
      <w:bookmarkEnd w:id="16"/>
      <w:r>
        <w:t>&lt;*&gt; 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right"/>
        <w:outlineLvl w:val="1"/>
      </w:pPr>
      <w:r>
        <w:t>Приложение 4</w:t>
      </w:r>
    </w:p>
    <w:p w:rsidR="00D102B3" w:rsidRDefault="00D102B3">
      <w:pPr>
        <w:pStyle w:val="ConsPlusNormal"/>
        <w:jc w:val="right"/>
      </w:pPr>
      <w:r>
        <w:t>к Порядку</w:t>
      </w:r>
    </w:p>
    <w:p w:rsidR="00D102B3" w:rsidRDefault="00D102B3">
      <w:pPr>
        <w:pStyle w:val="ConsPlusNormal"/>
        <w:jc w:val="right"/>
      </w:pPr>
      <w:r>
        <w:t>учета обязательств, вытекающих из договоров</w:t>
      </w:r>
    </w:p>
    <w:p w:rsidR="00D102B3" w:rsidRDefault="00D102B3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бюджетными (автономными) учреждениями</w:t>
      </w:r>
    </w:p>
    <w:p w:rsidR="00D102B3" w:rsidRDefault="00D102B3">
      <w:pPr>
        <w:pStyle w:val="ConsPlusNormal"/>
        <w:jc w:val="right"/>
      </w:pPr>
      <w:r>
        <w:t xml:space="preserve">Самарской области и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унитарными предприятиями Самарской области</w:t>
      </w: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9"/>
        <w:gridCol w:w="6165"/>
      </w:tblGrid>
      <w:tr w:rsidR="00D102B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bookmarkStart w:id="17" w:name="P525"/>
            <w:bookmarkEnd w:id="17"/>
            <w:r>
              <w:t>Акт</w:t>
            </w:r>
          </w:p>
          <w:p w:rsidR="00D102B3" w:rsidRDefault="00D102B3">
            <w:pPr>
              <w:pStyle w:val="ConsPlusNormal"/>
              <w:jc w:val="center"/>
            </w:pPr>
            <w:r>
              <w:t>приемки-передачи принятых на учет договорных обязательств</w:t>
            </w:r>
          </w:p>
          <w:p w:rsidR="00D102B3" w:rsidRDefault="00D102B3">
            <w:pPr>
              <w:pStyle w:val="ConsPlusNormal"/>
              <w:jc w:val="center"/>
            </w:pPr>
            <w:r>
              <w:t>при реорганизации, изменении подведомственности</w:t>
            </w:r>
          </w:p>
          <w:p w:rsidR="00D102B3" w:rsidRDefault="00D102B3">
            <w:pPr>
              <w:pStyle w:val="ConsPlusNormal"/>
              <w:jc w:val="center"/>
            </w:pPr>
            <w:r>
              <w:t xml:space="preserve">или </w:t>
            </w:r>
            <w:proofErr w:type="gramStart"/>
            <w:r>
              <w:t>изменении</w:t>
            </w:r>
            <w:proofErr w:type="gramEnd"/>
            <w:r>
              <w:t xml:space="preserve"> номера лицевого счета клиента</w:t>
            </w:r>
          </w:p>
        </w:tc>
      </w:tr>
      <w:tr w:rsidR="00D102B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от "____" ____________ 20___ г.</w:t>
            </w:r>
          </w:p>
        </w:tc>
      </w:tr>
      <w:tr w:rsidR="00D102B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Передающий клиент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lastRenderedPageBreak/>
              <w:t>(наименование клиента, номер лицевого счета)</w:t>
            </w:r>
          </w:p>
        </w:tc>
      </w:tr>
      <w:tr w:rsidR="00D102B3"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Принимающий клиент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(наименование клиента, номер лицевого счета)</w:t>
            </w:r>
          </w:p>
        </w:tc>
      </w:tr>
      <w:tr w:rsidR="00D102B3"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Основание для передачи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sectPr w:rsidR="00D102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508"/>
        <w:gridCol w:w="508"/>
        <w:gridCol w:w="444"/>
        <w:gridCol w:w="476"/>
        <w:gridCol w:w="723"/>
        <w:gridCol w:w="676"/>
        <w:gridCol w:w="768"/>
        <w:gridCol w:w="768"/>
        <w:gridCol w:w="752"/>
        <w:gridCol w:w="402"/>
        <w:gridCol w:w="572"/>
        <w:gridCol w:w="750"/>
        <w:gridCol w:w="508"/>
        <w:gridCol w:w="508"/>
        <w:gridCol w:w="444"/>
        <w:gridCol w:w="476"/>
        <w:gridCol w:w="723"/>
        <w:gridCol w:w="676"/>
        <w:gridCol w:w="768"/>
        <w:gridCol w:w="768"/>
        <w:gridCol w:w="752"/>
        <w:gridCol w:w="402"/>
        <w:gridCol w:w="572"/>
      </w:tblGrid>
      <w:tr w:rsidR="00D102B3" w:rsidTr="00331107">
        <w:tc>
          <w:tcPr>
            <w:tcW w:w="0" w:type="auto"/>
            <w:gridSpan w:val="12"/>
          </w:tcPr>
          <w:p w:rsidR="00D102B3" w:rsidRDefault="00D102B3">
            <w:pPr>
              <w:pStyle w:val="ConsPlusNormal"/>
              <w:jc w:val="center"/>
            </w:pPr>
            <w:r>
              <w:lastRenderedPageBreak/>
              <w:t>По передающему клиенту</w:t>
            </w:r>
          </w:p>
        </w:tc>
        <w:tc>
          <w:tcPr>
            <w:tcW w:w="0" w:type="auto"/>
            <w:gridSpan w:val="12"/>
          </w:tcPr>
          <w:p w:rsidR="00D102B3" w:rsidRDefault="00D102B3">
            <w:pPr>
              <w:pStyle w:val="ConsPlusNormal"/>
              <w:jc w:val="center"/>
            </w:pPr>
            <w:r>
              <w:t>По принимающему клиенту</w:t>
            </w:r>
          </w:p>
        </w:tc>
      </w:tr>
      <w:tr w:rsidR="00D102B3" w:rsidTr="00331107">
        <w:tc>
          <w:tcPr>
            <w:tcW w:w="0" w:type="auto"/>
            <w:gridSpan w:val="3"/>
          </w:tcPr>
          <w:p w:rsidR="00D102B3" w:rsidRDefault="00D102B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0" w:type="auto"/>
            <w:gridSpan w:val="7"/>
          </w:tcPr>
          <w:p w:rsidR="00D102B3" w:rsidRDefault="00D102B3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0" w:type="auto"/>
            <w:gridSpan w:val="2"/>
          </w:tcPr>
          <w:p w:rsidR="00D102B3" w:rsidRDefault="00D102B3">
            <w:pPr>
              <w:pStyle w:val="ConsPlusNormal"/>
              <w:jc w:val="center"/>
            </w:pPr>
            <w:r>
              <w:t>Принятые на учет договорные обязательства, передаваемые клиентом</w:t>
            </w:r>
          </w:p>
        </w:tc>
        <w:tc>
          <w:tcPr>
            <w:tcW w:w="0" w:type="auto"/>
            <w:gridSpan w:val="3"/>
          </w:tcPr>
          <w:p w:rsidR="00D102B3" w:rsidRDefault="00D102B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0" w:type="auto"/>
            <w:gridSpan w:val="7"/>
          </w:tcPr>
          <w:p w:rsidR="00D102B3" w:rsidRDefault="00D102B3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0" w:type="auto"/>
            <w:gridSpan w:val="2"/>
          </w:tcPr>
          <w:p w:rsidR="00D102B3" w:rsidRDefault="00D102B3">
            <w:pPr>
              <w:pStyle w:val="ConsPlusNormal"/>
              <w:jc w:val="center"/>
            </w:pPr>
            <w:r>
              <w:t>Принятые на учет договорные обязательства, принимаемые клиентом</w:t>
            </w:r>
          </w:p>
        </w:tc>
      </w:tr>
      <w:tr w:rsidR="00D102B3" w:rsidTr="00331107"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 xml:space="preserve">Код целевой статьи расходов </w:t>
            </w:r>
            <w:hyperlink w:anchor="P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Федерального казначейства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 xml:space="preserve">Код целевой статьи расходов </w:t>
            </w:r>
            <w:hyperlink w:anchor="P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Федерального казначейства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D102B3" w:rsidTr="00331107"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</w:tr>
      <w:tr w:rsidR="00D102B3" w:rsidTr="00331107"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</w:tr>
      <w:tr w:rsidR="00D102B3" w:rsidTr="00331107"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</w:tr>
      <w:tr w:rsidR="00D102B3" w:rsidTr="00331107">
        <w:tc>
          <w:tcPr>
            <w:tcW w:w="0" w:type="auto"/>
            <w:gridSpan w:val="10"/>
          </w:tcPr>
          <w:p w:rsidR="00D102B3" w:rsidRDefault="00D102B3">
            <w:pPr>
              <w:pStyle w:val="ConsPlusNormal"/>
            </w:pPr>
            <w:r>
              <w:t>Итого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  <w:gridSpan w:val="10"/>
          </w:tcPr>
          <w:p w:rsidR="00D102B3" w:rsidRDefault="00D102B3">
            <w:pPr>
              <w:pStyle w:val="ConsPlusNormal"/>
            </w:pPr>
            <w:r>
              <w:t>Итого</w:t>
            </w: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  <w:tc>
          <w:tcPr>
            <w:tcW w:w="0" w:type="auto"/>
          </w:tcPr>
          <w:p w:rsidR="00D102B3" w:rsidRDefault="00D102B3">
            <w:pPr>
              <w:pStyle w:val="ConsPlusNormal"/>
            </w:pPr>
          </w:p>
        </w:tc>
      </w:tr>
    </w:tbl>
    <w:p w:rsidR="00D102B3" w:rsidRDefault="00D102B3">
      <w:pPr>
        <w:sectPr w:rsidR="00D102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268"/>
        <w:gridCol w:w="454"/>
        <w:gridCol w:w="3742"/>
      </w:tblGrid>
      <w:tr w:rsidR="00D102B3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Передающая сторона: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Руководитель клиента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Главный бухгалтер клиента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"___" _________ 20__ г.</w:t>
            </w:r>
          </w:p>
        </w:tc>
      </w:tr>
      <w:tr w:rsidR="00D102B3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Принимающая сторона: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Руководитель клиента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Главный бухгалтер клиента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"___" _________ 20__ г.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>--------------------------------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18" w:name="P690"/>
      <w:bookmarkEnd w:id="18"/>
      <w:r>
        <w:t>&lt;*&gt; 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right"/>
        <w:outlineLvl w:val="1"/>
      </w:pPr>
      <w:r>
        <w:t>Приложение 5</w:t>
      </w:r>
    </w:p>
    <w:p w:rsidR="00D102B3" w:rsidRDefault="00D102B3">
      <w:pPr>
        <w:pStyle w:val="ConsPlusNormal"/>
        <w:jc w:val="right"/>
      </w:pPr>
      <w:r>
        <w:t>к Порядку</w:t>
      </w:r>
    </w:p>
    <w:p w:rsidR="00D102B3" w:rsidRDefault="00D102B3">
      <w:pPr>
        <w:pStyle w:val="ConsPlusNormal"/>
        <w:jc w:val="right"/>
      </w:pPr>
      <w:r>
        <w:t>учета обязательств, вытекающих из договоров</w:t>
      </w:r>
    </w:p>
    <w:p w:rsidR="00D102B3" w:rsidRDefault="00D102B3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бюджетными (автономными) учреждениями</w:t>
      </w:r>
    </w:p>
    <w:p w:rsidR="00D102B3" w:rsidRDefault="00D102B3">
      <w:pPr>
        <w:pStyle w:val="ConsPlusNormal"/>
        <w:jc w:val="right"/>
      </w:pPr>
      <w:r>
        <w:t xml:space="preserve">Самарской области и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унитарными предприятиями Самарской области</w:t>
      </w: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690"/>
        <w:gridCol w:w="2131"/>
        <w:gridCol w:w="525"/>
        <w:gridCol w:w="2839"/>
      </w:tblGrid>
      <w:tr w:rsidR="00D102B3">
        <w:tc>
          <w:tcPr>
            <w:tcW w:w="8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bookmarkStart w:id="19" w:name="P704"/>
            <w:bookmarkEnd w:id="19"/>
            <w:r>
              <w:t>Уведомление</w:t>
            </w:r>
          </w:p>
          <w:p w:rsidR="00D102B3" w:rsidRDefault="00D102B3">
            <w:pPr>
              <w:pStyle w:val="ConsPlusNormal"/>
              <w:jc w:val="center"/>
            </w:pPr>
            <w:r>
              <w:t>об уточнении аналитических кодов</w:t>
            </w:r>
          </w:p>
        </w:tc>
      </w:tr>
      <w:tr w:rsidR="00D102B3">
        <w:tc>
          <w:tcPr>
            <w:tcW w:w="8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от "___" _________ 20___ г.</w:t>
            </w:r>
          </w:p>
        </w:tc>
      </w:tr>
      <w:tr w:rsidR="00D102B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Наименование клиента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Номер и дата распоряжения: 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8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Кому: департамент исполнения областного бюджета и отчетности министерства управления финансами Самарской области</w:t>
            </w:r>
          </w:p>
          <w:p w:rsidR="00D102B3" w:rsidRDefault="00D102B3">
            <w:pPr>
              <w:pStyle w:val="ConsPlusNormal"/>
              <w:jc w:val="both"/>
            </w:pPr>
            <w:r>
              <w:lastRenderedPageBreak/>
              <w:t>Единица измерения: руб. (с точностью до второго десятичного знака)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sectPr w:rsidR="00D102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866"/>
        <w:gridCol w:w="615"/>
        <w:gridCol w:w="784"/>
        <w:gridCol w:w="665"/>
        <w:gridCol w:w="562"/>
        <w:gridCol w:w="541"/>
        <w:gridCol w:w="166"/>
        <w:gridCol w:w="618"/>
        <w:gridCol w:w="583"/>
        <w:gridCol w:w="869"/>
        <w:gridCol w:w="769"/>
        <w:gridCol w:w="553"/>
        <w:gridCol w:w="154"/>
        <w:gridCol w:w="748"/>
        <w:gridCol w:w="934"/>
        <w:gridCol w:w="1399"/>
        <w:gridCol w:w="3232"/>
      </w:tblGrid>
      <w:tr w:rsidR="00D102B3">
        <w:tc>
          <w:tcPr>
            <w:tcW w:w="728" w:type="dxa"/>
            <w:vMerge w:val="restart"/>
          </w:tcPr>
          <w:p w:rsidR="00D102B3" w:rsidRDefault="00D102B3">
            <w:pPr>
              <w:pStyle w:val="ConsPlusNormal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6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2626" w:type="dxa"/>
            <w:gridSpan w:val="4"/>
          </w:tcPr>
          <w:p w:rsidR="00D102B3" w:rsidRDefault="00D102B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001" w:type="dxa"/>
            <w:gridSpan w:val="9"/>
          </w:tcPr>
          <w:p w:rsidR="00D102B3" w:rsidRDefault="00D102B3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934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Номер договорного обязательства</w:t>
            </w:r>
          </w:p>
        </w:tc>
        <w:tc>
          <w:tcPr>
            <w:tcW w:w="1399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232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D102B3">
        <w:tc>
          <w:tcPr>
            <w:tcW w:w="728" w:type="dxa"/>
            <w:vMerge/>
          </w:tcPr>
          <w:p w:rsidR="00D102B3" w:rsidRDefault="00D102B3"/>
        </w:tc>
        <w:tc>
          <w:tcPr>
            <w:tcW w:w="866" w:type="dxa"/>
            <w:vMerge/>
          </w:tcPr>
          <w:p w:rsidR="00D102B3" w:rsidRDefault="00D102B3"/>
        </w:tc>
        <w:tc>
          <w:tcPr>
            <w:tcW w:w="615" w:type="dxa"/>
          </w:tcPr>
          <w:p w:rsidR="00D102B3" w:rsidRDefault="00D102B3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784" w:type="dxa"/>
          </w:tcPr>
          <w:p w:rsidR="00D102B3" w:rsidRDefault="00D102B3">
            <w:pPr>
              <w:pStyle w:val="ConsPlusNormal"/>
              <w:jc w:val="center"/>
            </w:pPr>
            <w:r>
              <w:t xml:space="preserve">Код целевой статьи расхода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5" w:type="dxa"/>
          </w:tcPr>
          <w:p w:rsidR="00D102B3" w:rsidRDefault="00D102B3">
            <w:pPr>
              <w:pStyle w:val="ConsPlusNormal"/>
              <w:jc w:val="center"/>
            </w:pPr>
            <w:r>
              <w:t>Код вида расхода</w:t>
            </w:r>
          </w:p>
        </w:tc>
        <w:tc>
          <w:tcPr>
            <w:tcW w:w="562" w:type="dxa"/>
          </w:tcPr>
          <w:p w:rsidR="00D102B3" w:rsidRDefault="00D102B3">
            <w:pPr>
              <w:pStyle w:val="ConsPlusNormal"/>
              <w:jc w:val="center"/>
            </w:pPr>
            <w:r>
              <w:t>КОСГУ (АГПД), АГВИ</w:t>
            </w:r>
          </w:p>
        </w:tc>
        <w:tc>
          <w:tcPr>
            <w:tcW w:w="707" w:type="dxa"/>
            <w:gridSpan w:val="2"/>
          </w:tcPr>
          <w:p w:rsidR="00D102B3" w:rsidRDefault="00D102B3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618" w:type="dxa"/>
          </w:tcPr>
          <w:p w:rsidR="00D102B3" w:rsidRDefault="00D102B3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583" w:type="dxa"/>
          </w:tcPr>
          <w:p w:rsidR="00D102B3" w:rsidRDefault="00D102B3">
            <w:pPr>
              <w:pStyle w:val="ConsPlusNormal"/>
              <w:jc w:val="center"/>
            </w:pPr>
            <w:r>
              <w:t>Код Федерального казначейства</w:t>
            </w:r>
          </w:p>
        </w:tc>
        <w:tc>
          <w:tcPr>
            <w:tcW w:w="869" w:type="dxa"/>
          </w:tcPr>
          <w:p w:rsidR="00D102B3" w:rsidRDefault="00D102B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769" w:type="dxa"/>
          </w:tcPr>
          <w:p w:rsidR="00D102B3" w:rsidRDefault="00D102B3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707" w:type="dxa"/>
            <w:gridSpan w:val="2"/>
          </w:tcPr>
          <w:p w:rsidR="00D102B3" w:rsidRDefault="00D102B3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748" w:type="dxa"/>
          </w:tcPr>
          <w:p w:rsidR="00D102B3" w:rsidRDefault="00D102B3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934" w:type="dxa"/>
            <w:vMerge/>
          </w:tcPr>
          <w:p w:rsidR="00D102B3" w:rsidRDefault="00D102B3"/>
        </w:tc>
        <w:tc>
          <w:tcPr>
            <w:tcW w:w="1399" w:type="dxa"/>
            <w:vMerge/>
          </w:tcPr>
          <w:p w:rsidR="00D102B3" w:rsidRDefault="00D102B3"/>
        </w:tc>
        <w:tc>
          <w:tcPr>
            <w:tcW w:w="3232" w:type="dxa"/>
            <w:vMerge/>
          </w:tcPr>
          <w:p w:rsidR="00D102B3" w:rsidRDefault="00D102B3"/>
        </w:tc>
      </w:tr>
      <w:tr w:rsidR="00D102B3">
        <w:tc>
          <w:tcPr>
            <w:tcW w:w="728" w:type="dxa"/>
          </w:tcPr>
          <w:p w:rsidR="00D102B3" w:rsidRDefault="00D102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D102B3" w:rsidRDefault="00D102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5" w:type="dxa"/>
          </w:tcPr>
          <w:p w:rsidR="00D102B3" w:rsidRDefault="00D102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D102B3" w:rsidRDefault="00D102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D102B3" w:rsidRDefault="00D102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2" w:type="dxa"/>
          </w:tcPr>
          <w:p w:rsidR="00D102B3" w:rsidRDefault="00D102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7" w:type="dxa"/>
            <w:gridSpan w:val="2"/>
          </w:tcPr>
          <w:p w:rsidR="00D102B3" w:rsidRDefault="00D102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" w:type="dxa"/>
          </w:tcPr>
          <w:p w:rsidR="00D102B3" w:rsidRDefault="00D102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" w:type="dxa"/>
          </w:tcPr>
          <w:p w:rsidR="00D102B3" w:rsidRDefault="00D102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D102B3" w:rsidRDefault="00D102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9" w:type="dxa"/>
          </w:tcPr>
          <w:p w:rsidR="00D102B3" w:rsidRDefault="00D102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7" w:type="dxa"/>
            <w:gridSpan w:val="2"/>
          </w:tcPr>
          <w:p w:rsidR="00D102B3" w:rsidRDefault="00D102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8" w:type="dxa"/>
          </w:tcPr>
          <w:p w:rsidR="00D102B3" w:rsidRDefault="00D102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4" w:type="dxa"/>
          </w:tcPr>
          <w:p w:rsidR="00D102B3" w:rsidRDefault="00D102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9" w:type="dxa"/>
          </w:tcPr>
          <w:p w:rsidR="00D102B3" w:rsidRDefault="00D102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2" w:type="dxa"/>
          </w:tcPr>
          <w:p w:rsidR="00D102B3" w:rsidRDefault="00D102B3">
            <w:pPr>
              <w:pStyle w:val="ConsPlusNormal"/>
              <w:jc w:val="center"/>
            </w:pPr>
            <w:r>
              <w:t>16</w:t>
            </w:r>
          </w:p>
        </w:tc>
      </w:tr>
      <w:tr w:rsidR="00D102B3">
        <w:tc>
          <w:tcPr>
            <w:tcW w:w="728" w:type="dxa"/>
          </w:tcPr>
          <w:p w:rsidR="00D102B3" w:rsidRDefault="00D102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615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665" w:type="dxa"/>
          </w:tcPr>
          <w:p w:rsidR="00D102B3" w:rsidRDefault="00D102B3">
            <w:pPr>
              <w:pStyle w:val="ConsPlusNormal"/>
            </w:pPr>
          </w:p>
        </w:tc>
        <w:tc>
          <w:tcPr>
            <w:tcW w:w="56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07" w:type="dxa"/>
            <w:gridSpan w:val="2"/>
          </w:tcPr>
          <w:p w:rsidR="00D102B3" w:rsidRDefault="00D102B3">
            <w:pPr>
              <w:pStyle w:val="ConsPlusNormal"/>
            </w:pPr>
          </w:p>
        </w:tc>
        <w:tc>
          <w:tcPr>
            <w:tcW w:w="618" w:type="dxa"/>
          </w:tcPr>
          <w:p w:rsidR="00D102B3" w:rsidRDefault="00D102B3">
            <w:pPr>
              <w:pStyle w:val="ConsPlusNormal"/>
            </w:pPr>
          </w:p>
        </w:tc>
        <w:tc>
          <w:tcPr>
            <w:tcW w:w="58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07" w:type="dxa"/>
            <w:gridSpan w:val="2"/>
          </w:tcPr>
          <w:p w:rsidR="00D102B3" w:rsidRDefault="00D102B3">
            <w:pPr>
              <w:pStyle w:val="ConsPlusNormal"/>
            </w:pPr>
          </w:p>
        </w:tc>
        <w:tc>
          <w:tcPr>
            <w:tcW w:w="748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9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3232" w:type="dxa"/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28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427" w:type="dxa"/>
            <w:gridSpan w:val="15"/>
          </w:tcPr>
          <w:p w:rsidR="00D102B3" w:rsidRDefault="00D102B3">
            <w:pPr>
              <w:pStyle w:val="ConsPlusNormal"/>
            </w:pPr>
            <w:r>
              <w:t>Итого по исходным данным:</w:t>
            </w:r>
          </w:p>
        </w:tc>
        <w:tc>
          <w:tcPr>
            <w:tcW w:w="139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3232" w:type="dxa"/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28" w:type="dxa"/>
          </w:tcPr>
          <w:p w:rsidR="00D102B3" w:rsidRDefault="00D102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615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665" w:type="dxa"/>
          </w:tcPr>
          <w:p w:rsidR="00D102B3" w:rsidRDefault="00D102B3">
            <w:pPr>
              <w:pStyle w:val="ConsPlusNormal"/>
            </w:pPr>
          </w:p>
        </w:tc>
        <w:tc>
          <w:tcPr>
            <w:tcW w:w="56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541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84" w:type="dxa"/>
            <w:gridSpan w:val="2"/>
          </w:tcPr>
          <w:p w:rsidR="00D102B3" w:rsidRDefault="00D102B3">
            <w:pPr>
              <w:pStyle w:val="ConsPlusNormal"/>
            </w:pPr>
          </w:p>
        </w:tc>
        <w:tc>
          <w:tcPr>
            <w:tcW w:w="58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55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02" w:type="dxa"/>
            <w:gridSpan w:val="2"/>
          </w:tcPr>
          <w:p w:rsidR="00D102B3" w:rsidRDefault="00D102B3">
            <w:pPr>
              <w:pStyle w:val="ConsPlusNormal"/>
            </w:pPr>
          </w:p>
        </w:tc>
        <w:tc>
          <w:tcPr>
            <w:tcW w:w="9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9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3232" w:type="dxa"/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28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427" w:type="dxa"/>
            <w:gridSpan w:val="15"/>
          </w:tcPr>
          <w:p w:rsidR="00D102B3" w:rsidRDefault="00D102B3">
            <w:pPr>
              <w:pStyle w:val="ConsPlusNormal"/>
            </w:pPr>
            <w:r>
              <w:t>Итого по измененным данным:</w:t>
            </w:r>
          </w:p>
        </w:tc>
        <w:tc>
          <w:tcPr>
            <w:tcW w:w="139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3232" w:type="dxa"/>
          </w:tcPr>
          <w:p w:rsidR="00D102B3" w:rsidRDefault="00D102B3">
            <w:pPr>
              <w:pStyle w:val="ConsPlusNormal"/>
            </w:pPr>
          </w:p>
        </w:tc>
      </w:tr>
    </w:tbl>
    <w:p w:rsidR="00D102B3" w:rsidRDefault="00D102B3">
      <w:pPr>
        <w:sectPr w:rsidR="00D102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1699"/>
        <w:gridCol w:w="340"/>
        <w:gridCol w:w="3118"/>
      </w:tblGrid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Руководитель клиента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(иное уполномоченное лицо)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(иное уполномоченное лицо)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"___" ______ 20__ г.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М.П.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Ответственный исполнитель департамента исполнения областного бюджета и отчетности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Дата "___" _________ 20____ г.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>--------------------------------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20" w:name="P825"/>
      <w:bookmarkEnd w:id="20"/>
      <w:r>
        <w:t>&lt;*&gt; 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right"/>
        <w:outlineLvl w:val="1"/>
      </w:pPr>
      <w:r>
        <w:t>Приложение 6</w:t>
      </w:r>
    </w:p>
    <w:p w:rsidR="00D102B3" w:rsidRDefault="00D102B3">
      <w:pPr>
        <w:pStyle w:val="ConsPlusNormal"/>
        <w:jc w:val="right"/>
      </w:pPr>
      <w:r>
        <w:t>к Порядку</w:t>
      </w:r>
    </w:p>
    <w:p w:rsidR="00D102B3" w:rsidRDefault="00D102B3">
      <w:pPr>
        <w:pStyle w:val="ConsPlusNormal"/>
        <w:jc w:val="right"/>
      </w:pPr>
      <w:r>
        <w:t>учета обязательств, вытекающих из договоров</w:t>
      </w:r>
    </w:p>
    <w:p w:rsidR="00D102B3" w:rsidRDefault="00D102B3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бюджетными (автономными) учреждениями</w:t>
      </w:r>
    </w:p>
    <w:p w:rsidR="00D102B3" w:rsidRDefault="00D102B3">
      <w:pPr>
        <w:pStyle w:val="ConsPlusNormal"/>
        <w:jc w:val="right"/>
      </w:pPr>
      <w:r>
        <w:t xml:space="preserve">Самарской области и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унитарными предприятиями Самарской области</w:t>
      </w: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0"/>
        <w:gridCol w:w="795"/>
        <w:gridCol w:w="299"/>
        <w:gridCol w:w="870"/>
        <w:gridCol w:w="826"/>
        <w:gridCol w:w="270"/>
        <w:gridCol w:w="181"/>
        <w:gridCol w:w="449"/>
        <w:gridCol w:w="2442"/>
        <w:gridCol w:w="794"/>
      </w:tblGrid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bookmarkStart w:id="21" w:name="P839"/>
            <w:bookmarkEnd w:id="21"/>
            <w:r>
              <w:t>Дополнительная расшифровка</w:t>
            </w:r>
          </w:p>
          <w:p w:rsidR="00D102B3" w:rsidRDefault="00D102B3">
            <w:pPr>
              <w:pStyle w:val="ConsPlusNormal"/>
              <w:jc w:val="center"/>
            </w:pPr>
            <w:r>
              <w:t>к договорному обязательству</w:t>
            </w:r>
          </w:p>
        </w:tc>
      </w:tr>
      <w:tr w:rsidR="00D102B3"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Наименование и номер лицевого счета клиента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Договор от "___" _______ 20___ г. N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Уникальный номер договора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Предмет договора</w:t>
            </w:r>
          </w:p>
        </w:tc>
        <w:tc>
          <w:tcPr>
            <w:tcW w:w="69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lastRenderedPageBreak/>
              <w:t xml:space="preserve">Срок действия договора </w:t>
            </w:r>
            <w:proofErr w:type="gramStart"/>
            <w:r>
              <w:t>с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ИНН, КПП, наименование поставщика (подрядчика, исполнителя), номер счета</w:t>
            </w:r>
          </w:p>
        </w:tc>
      </w:tr>
      <w:tr w:rsidR="00D102B3"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для перечисления средств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Условия оплаты (размер аванса, оплата по факту)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Способ определения поставщика (подрядчика, исполнителя)/Способ закупки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Общая сумма по договору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(в руб., с точностью до второго десятичного знака)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Сумма договора на текущий финансовый год, подлежащая постановке на учет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8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right"/>
            </w:pPr>
            <w:r>
              <w:t>в т.ч.:</w:t>
            </w:r>
          </w:p>
        </w:tc>
      </w:tr>
      <w:tr w:rsidR="00D102B3"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sectPr w:rsidR="00D102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4"/>
        <w:gridCol w:w="959"/>
        <w:gridCol w:w="874"/>
        <w:gridCol w:w="769"/>
        <w:gridCol w:w="823"/>
        <w:gridCol w:w="1243"/>
        <w:gridCol w:w="1159"/>
        <w:gridCol w:w="1334"/>
        <w:gridCol w:w="1334"/>
        <w:gridCol w:w="1336"/>
        <w:gridCol w:w="1122"/>
        <w:gridCol w:w="1227"/>
        <w:gridCol w:w="1227"/>
      </w:tblGrid>
      <w:tr w:rsidR="00D102B3">
        <w:tc>
          <w:tcPr>
            <w:tcW w:w="3117" w:type="dxa"/>
            <w:gridSpan w:val="3"/>
          </w:tcPr>
          <w:p w:rsidR="00D102B3" w:rsidRDefault="00D102B3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7998" w:type="dxa"/>
            <w:gridSpan w:val="7"/>
          </w:tcPr>
          <w:p w:rsidR="00D102B3" w:rsidRDefault="00D102B3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122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27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Номер договорного обязательства в отчетном году</w:t>
            </w:r>
          </w:p>
        </w:tc>
        <w:tc>
          <w:tcPr>
            <w:tcW w:w="1227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Номер договорного обязательства</w:t>
            </w:r>
          </w:p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959" w:type="dxa"/>
          </w:tcPr>
          <w:p w:rsidR="00D102B3" w:rsidRDefault="00D102B3">
            <w:pPr>
              <w:pStyle w:val="ConsPlusNormal"/>
              <w:jc w:val="center"/>
            </w:pPr>
            <w:r>
              <w:t xml:space="preserve">Код целевой статьи расходов </w:t>
            </w:r>
            <w:hyperlink w:anchor="P9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4" w:type="dxa"/>
          </w:tcPr>
          <w:p w:rsidR="00D102B3" w:rsidRDefault="00D102B3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769" w:type="dxa"/>
          </w:tcPr>
          <w:p w:rsidR="00D102B3" w:rsidRDefault="00D102B3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823" w:type="dxa"/>
          </w:tcPr>
          <w:p w:rsidR="00D102B3" w:rsidRDefault="00D102B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243" w:type="dxa"/>
          </w:tcPr>
          <w:p w:rsidR="00D102B3" w:rsidRDefault="00D102B3">
            <w:pPr>
              <w:pStyle w:val="ConsPlusNormal"/>
              <w:jc w:val="center"/>
            </w:pPr>
            <w:r>
              <w:t>Код Федерального казначейства</w:t>
            </w:r>
          </w:p>
        </w:tc>
        <w:tc>
          <w:tcPr>
            <w:tcW w:w="1159" w:type="dxa"/>
          </w:tcPr>
          <w:p w:rsidR="00D102B3" w:rsidRDefault="00D102B3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334" w:type="dxa"/>
          </w:tcPr>
          <w:p w:rsidR="00D102B3" w:rsidRDefault="00D102B3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334" w:type="dxa"/>
          </w:tcPr>
          <w:p w:rsidR="00D102B3" w:rsidRDefault="00D102B3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336" w:type="dxa"/>
          </w:tcPr>
          <w:p w:rsidR="00D102B3" w:rsidRDefault="00D102B3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122" w:type="dxa"/>
            <w:vMerge/>
          </w:tcPr>
          <w:p w:rsidR="00D102B3" w:rsidRDefault="00D102B3"/>
        </w:tc>
        <w:tc>
          <w:tcPr>
            <w:tcW w:w="1227" w:type="dxa"/>
            <w:vMerge/>
          </w:tcPr>
          <w:p w:rsidR="00D102B3" w:rsidRDefault="00D102B3"/>
        </w:tc>
        <w:tc>
          <w:tcPr>
            <w:tcW w:w="1227" w:type="dxa"/>
            <w:vMerge/>
          </w:tcPr>
          <w:p w:rsidR="00D102B3" w:rsidRDefault="00D102B3"/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7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2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4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2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7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2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4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2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</w:tr>
    </w:tbl>
    <w:p w:rsidR="00D102B3" w:rsidRDefault="00D102B3">
      <w:pPr>
        <w:sectPr w:rsidR="00D102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1699"/>
        <w:gridCol w:w="340"/>
        <w:gridCol w:w="3118"/>
      </w:tblGrid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Руководитель клиента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Гл. бухгалтер клиента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М.П.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  <w:p w:rsidR="00D102B3" w:rsidRDefault="00D102B3">
            <w:pPr>
              <w:pStyle w:val="ConsPlusNormal"/>
              <w:jc w:val="both"/>
            </w:pPr>
            <w:r>
              <w:t>Договор не принят на учет.</w:t>
            </w:r>
          </w:p>
          <w:p w:rsidR="00D102B3" w:rsidRDefault="00D102B3">
            <w:pPr>
              <w:pStyle w:val="ConsPlusNormal"/>
              <w:jc w:val="both"/>
            </w:pPr>
            <w:r>
              <w:t xml:space="preserve">Договор принят на </w:t>
            </w:r>
            <w:proofErr w:type="gramStart"/>
            <w:r>
              <w:t>учет</w:t>
            </w:r>
            <w:proofErr w:type="gramEnd"/>
            <w:r>
              <w:t xml:space="preserve"> на _____ год.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Дата "___" _________ 20____ г.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>--------------------------------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22" w:name="P948"/>
      <w:bookmarkEnd w:id="22"/>
      <w:r>
        <w:t>&lt;*&gt; 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right"/>
        <w:outlineLvl w:val="1"/>
      </w:pPr>
      <w:r>
        <w:t>Приложение 7</w:t>
      </w:r>
    </w:p>
    <w:p w:rsidR="00D102B3" w:rsidRDefault="00D102B3">
      <w:pPr>
        <w:pStyle w:val="ConsPlusNormal"/>
        <w:jc w:val="right"/>
      </w:pPr>
      <w:r>
        <w:t>к Порядку</w:t>
      </w:r>
    </w:p>
    <w:p w:rsidR="00D102B3" w:rsidRDefault="00D102B3">
      <w:pPr>
        <w:pStyle w:val="ConsPlusNormal"/>
        <w:jc w:val="right"/>
      </w:pPr>
      <w:r>
        <w:t>учета обязательств, вытекающих из договоров</w:t>
      </w:r>
    </w:p>
    <w:p w:rsidR="00D102B3" w:rsidRDefault="00D102B3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бюджетными (автономными) учреждениями</w:t>
      </w:r>
    </w:p>
    <w:p w:rsidR="00D102B3" w:rsidRDefault="00D102B3">
      <w:pPr>
        <w:pStyle w:val="ConsPlusNormal"/>
        <w:jc w:val="right"/>
      </w:pPr>
      <w:r>
        <w:t xml:space="preserve">Самарской области и </w:t>
      </w:r>
      <w:proofErr w:type="gramStart"/>
      <w:r>
        <w:t>государственными</w:t>
      </w:r>
      <w:proofErr w:type="gramEnd"/>
    </w:p>
    <w:p w:rsidR="00D102B3" w:rsidRDefault="00D102B3">
      <w:pPr>
        <w:pStyle w:val="ConsPlusNormal"/>
        <w:jc w:val="right"/>
      </w:pPr>
      <w:r>
        <w:t>унитарными предприятиями Самарской области</w:t>
      </w: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765"/>
        <w:gridCol w:w="299"/>
        <w:gridCol w:w="870"/>
        <w:gridCol w:w="826"/>
        <w:gridCol w:w="270"/>
        <w:gridCol w:w="181"/>
        <w:gridCol w:w="449"/>
        <w:gridCol w:w="134"/>
        <w:gridCol w:w="1453"/>
        <w:gridCol w:w="480"/>
        <w:gridCol w:w="375"/>
        <w:gridCol w:w="794"/>
      </w:tblGrid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bookmarkStart w:id="23" w:name="P962"/>
            <w:bookmarkEnd w:id="23"/>
            <w:r>
              <w:t>Дополнительная расшифровка</w:t>
            </w:r>
          </w:p>
          <w:p w:rsidR="00D102B3" w:rsidRDefault="00D102B3">
            <w:pPr>
              <w:pStyle w:val="ConsPlusNormal"/>
              <w:jc w:val="center"/>
            </w:pPr>
            <w:r>
              <w:t>к измененному договорному обязательству</w:t>
            </w:r>
          </w:p>
        </w:tc>
      </w:tr>
      <w:tr w:rsidR="00D102B3"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Наименование и номер лицевого счета клиента</w:t>
            </w:r>
          </w:p>
        </w:tc>
        <w:tc>
          <w:tcPr>
            <w:tcW w:w="3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Договор от "___" _______ 20___ г. N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Уникальный номер договора</w:t>
            </w:r>
          </w:p>
        </w:tc>
        <w:tc>
          <w:tcPr>
            <w:tcW w:w="58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 xml:space="preserve">Основание изменения информации об обязательстве </w:t>
            </w:r>
            <w:proofErr w:type="gramStart"/>
            <w:r>
              <w:t>от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lastRenderedPageBreak/>
              <w:t>Изменившаяся информация об обязательстве</w:t>
            </w:r>
          </w:p>
        </w:tc>
        <w:tc>
          <w:tcPr>
            <w:tcW w:w="4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Предмет договора</w:t>
            </w:r>
          </w:p>
        </w:tc>
        <w:tc>
          <w:tcPr>
            <w:tcW w:w="68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 xml:space="preserve">Срок действия договора </w:t>
            </w:r>
            <w:proofErr w:type="gramStart"/>
            <w:r>
              <w:t>с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ИНН, КПП, наименование поставщика (подрядчика, исполнителя), номер счета</w:t>
            </w:r>
          </w:p>
        </w:tc>
      </w:tr>
      <w:tr w:rsidR="00D102B3"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для перечисления средств</w:t>
            </w:r>
          </w:p>
        </w:tc>
        <w:tc>
          <w:tcPr>
            <w:tcW w:w="6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Условия оплаты (размер аванса, оплата по факту)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Способ определения поставщика (подрядчика, исполнителя)/Способ закупки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Общая сумма по договору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90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(в руб., с точностью до второго десятичного знака)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  <w:r>
              <w:t>Сумма договора на текущий финансовый год, подлежащая постановке на учет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blPrEx>
          <w:tblBorders>
            <w:insideH w:val="single" w:sz="4" w:space="0" w:color="auto"/>
          </w:tblBorders>
        </w:tblPrEx>
        <w:tc>
          <w:tcPr>
            <w:tcW w:w="82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right"/>
            </w:pPr>
            <w:r>
              <w:t>в т.ч.:</w:t>
            </w:r>
          </w:p>
        </w:tc>
      </w:tr>
      <w:tr w:rsidR="00D102B3"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sectPr w:rsidR="00D102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4"/>
        <w:gridCol w:w="959"/>
        <w:gridCol w:w="874"/>
        <w:gridCol w:w="769"/>
        <w:gridCol w:w="823"/>
        <w:gridCol w:w="1243"/>
        <w:gridCol w:w="1159"/>
        <w:gridCol w:w="1334"/>
        <w:gridCol w:w="1334"/>
        <w:gridCol w:w="1336"/>
        <w:gridCol w:w="1122"/>
        <w:gridCol w:w="1227"/>
        <w:gridCol w:w="1227"/>
      </w:tblGrid>
      <w:tr w:rsidR="00D102B3">
        <w:tc>
          <w:tcPr>
            <w:tcW w:w="3117" w:type="dxa"/>
            <w:gridSpan w:val="3"/>
          </w:tcPr>
          <w:p w:rsidR="00D102B3" w:rsidRDefault="00D102B3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7998" w:type="dxa"/>
            <w:gridSpan w:val="7"/>
          </w:tcPr>
          <w:p w:rsidR="00D102B3" w:rsidRDefault="00D102B3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122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27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Номер договорного обязательства в отчетном году</w:t>
            </w:r>
          </w:p>
        </w:tc>
        <w:tc>
          <w:tcPr>
            <w:tcW w:w="1227" w:type="dxa"/>
            <w:vMerge w:val="restart"/>
          </w:tcPr>
          <w:p w:rsidR="00D102B3" w:rsidRDefault="00D102B3">
            <w:pPr>
              <w:pStyle w:val="ConsPlusNormal"/>
              <w:jc w:val="center"/>
            </w:pPr>
            <w:r>
              <w:t>Номер договорного обязательства</w:t>
            </w:r>
          </w:p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959" w:type="dxa"/>
          </w:tcPr>
          <w:p w:rsidR="00D102B3" w:rsidRDefault="00D102B3">
            <w:pPr>
              <w:pStyle w:val="ConsPlusNormal"/>
              <w:jc w:val="center"/>
            </w:pPr>
            <w:r>
              <w:t xml:space="preserve">Код целевой статьи расходов </w:t>
            </w:r>
            <w:hyperlink w:anchor="P10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4" w:type="dxa"/>
          </w:tcPr>
          <w:p w:rsidR="00D102B3" w:rsidRDefault="00D102B3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769" w:type="dxa"/>
          </w:tcPr>
          <w:p w:rsidR="00D102B3" w:rsidRDefault="00D102B3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823" w:type="dxa"/>
          </w:tcPr>
          <w:p w:rsidR="00D102B3" w:rsidRDefault="00D102B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243" w:type="dxa"/>
          </w:tcPr>
          <w:p w:rsidR="00D102B3" w:rsidRDefault="00D102B3">
            <w:pPr>
              <w:pStyle w:val="ConsPlusNormal"/>
              <w:jc w:val="center"/>
            </w:pPr>
            <w:r>
              <w:t>Код Федерального казначейства</w:t>
            </w:r>
          </w:p>
        </w:tc>
        <w:tc>
          <w:tcPr>
            <w:tcW w:w="1159" w:type="dxa"/>
          </w:tcPr>
          <w:p w:rsidR="00D102B3" w:rsidRDefault="00D102B3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334" w:type="dxa"/>
          </w:tcPr>
          <w:p w:rsidR="00D102B3" w:rsidRDefault="00D102B3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334" w:type="dxa"/>
          </w:tcPr>
          <w:p w:rsidR="00D102B3" w:rsidRDefault="00D102B3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336" w:type="dxa"/>
          </w:tcPr>
          <w:p w:rsidR="00D102B3" w:rsidRDefault="00D102B3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122" w:type="dxa"/>
            <w:vMerge/>
          </w:tcPr>
          <w:p w:rsidR="00D102B3" w:rsidRDefault="00D102B3"/>
        </w:tc>
        <w:tc>
          <w:tcPr>
            <w:tcW w:w="1227" w:type="dxa"/>
            <w:vMerge/>
          </w:tcPr>
          <w:p w:rsidR="00D102B3" w:rsidRDefault="00D102B3"/>
        </w:tc>
        <w:tc>
          <w:tcPr>
            <w:tcW w:w="1227" w:type="dxa"/>
            <w:vMerge/>
          </w:tcPr>
          <w:p w:rsidR="00D102B3" w:rsidRDefault="00D102B3"/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7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2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4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2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128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9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7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76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82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43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59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4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336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122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  <w:tc>
          <w:tcPr>
            <w:tcW w:w="1227" w:type="dxa"/>
          </w:tcPr>
          <w:p w:rsidR="00D102B3" w:rsidRDefault="00D102B3">
            <w:pPr>
              <w:pStyle w:val="ConsPlusNormal"/>
            </w:pPr>
          </w:p>
        </w:tc>
      </w:tr>
    </w:tbl>
    <w:p w:rsidR="00D102B3" w:rsidRDefault="00D102B3">
      <w:pPr>
        <w:sectPr w:rsidR="00D102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2B3" w:rsidRDefault="00D10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1699"/>
        <w:gridCol w:w="340"/>
        <w:gridCol w:w="3118"/>
      </w:tblGrid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Руководитель клиента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Гл. бухгалтер клиента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М.П.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  <w:p w:rsidR="00D102B3" w:rsidRDefault="00D102B3">
            <w:pPr>
              <w:pStyle w:val="ConsPlusNormal"/>
              <w:jc w:val="both"/>
            </w:pPr>
            <w:r>
              <w:t>Дата представления "___" _________ 20____ г.</w:t>
            </w:r>
          </w:p>
          <w:p w:rsidR="00D102B3" w:rsidRDefault="00D102B3">
            <w:pPr>
              <w:pStyle w:val="ConsPlusNormal"/>
              <w:jc w:val="both"/>
            </w:pPr>
            <w:r>
              <w:t>Договор не принят на учет.</w:t>
            </w:r>
          </w:p>
          <w:p w:rsidR="00D102B3" w:rsidRDefault="00D102B3">
            <w:pPr>
              <w:pStyle w:val="ConsPlusNormal"/>
              <w:jc w:val="both"/>
            </w:pPr>
            <w:r>
              <w:t xml:space="preserve">Договор принят на </w:t>
            </w:r>
            <w:proofErr w:type="gramStart"/>
            <w:r>
              <w:t>учет</w:t>
            </w:r>
            <w:proofErr w:type="gramEnd"/>
            <w:r>
              <w:t xml:space="preserve"> на _____ год.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102B3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2B3" w:rsidRDefault="00D102B3">
            <w:pPr>
              <w:pStyle w:val="ConsPlusNormal"/>
            </w:pPr>
          </w:p>
        </w:tc>
      </w:tr>
      <w:tr w:rsidR="00D102B3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2B3">
        <w:tc>
          <w:tcPr>
            <w:tcW w:w="7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B3" w:rsidRDefault="00D102B3">
            <w:pPr>
              <w:pStyle w:val="ConsPlusNormal"/>
              <w:jc w:val="both"/>
            </w:pPr>
            <w:r>
              <w:t>Дата "___" _________ 20____ г.</w:t>
            </w:r>
          </w:p>
        </w:tc>
      </w:tr>
    </w:tbl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ind w:firstLine="540"/>
        <w:jc w:val="both"/>
      </w:pPr>
      <w:r>
        <w:t>--------------------------------</w:t>
      </w:r>
    </w:p>
    <w:p w:rsidR="00D102B3" w:rsidRDefault="00D102B3">
      <w:pPr>
        <w:pStyle w:val="ConsPlusNormal"/>
        <w:spacing w:before="220"/>
        <w:ind w:firstLine="540"/>
        <w:jc w:val="both"/>
      </w:pPr>
      <w:bookmarkStart w:id="24" w:name="P1078"/>
      <w:bookmarkEnd w:id="24"/>
      <w:r>
        <w:t>&lt;*&gt; 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проектов.</w:t>
      </w: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jc w:val="both"/>
      </w:pPr>
    </w:p>
    <w:p w:rsidR="00D102B3" w:rsidRDefault="00D10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7A0" w:rsidRDefault="007E67A0"/>
    <w:sectPr w:rsidR="007E67A0" w:rsidSect="000B12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2B3"/>
    <w:rsid w:val="00331107"/>
    <w:rsid w:val="007E67A0"/>
    <w:rsid w:val="00C60CCC"/>
    <w:rsid w:val="00D1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0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102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01D29336DD843F1181F641BB6BD4F6ECD2888787AD9914B3C50E70764A43FB0517056599DEC5D72D432524ECB909FD0DA52BF343DBD4E25FE1Ca7H1K" TargetMode="External"/><Relationship Id="rId13" Type="http://schemas.openxmlformats.org/officeDocument/2006/relationships/hyperlink" Target="consultantplus://offline/ref=18F01D29336DD843F11801690DDAE1476BC3738C767DDAC211630BBA506DAE68F71E29111891E5562685770E489FC4C585D44CB82A3FaBHFK" TargetMode="External"/><Relationship Id="rId18" Type="http://schemas.openxmlformats.org/officeDocument/2006/relationships/hyperlink" Target="consultantplus://offline/ref=18F01D29336DD843F11801690DDAE1476BC17182777DDAC211630BBA506DAE68E51E71181D95F35D71CA315B47a9H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F01D29336DD843F11801690DDAE1476BC17182777ADAC211630BBA506DAE68E51E71181D95F35D71CA315B47a9HEK" TargetMode="External"/><Relationship Id="rId7" Type="http://schemas.openxmlformats.org/officeDocument/2006/relationships/hyperlink" Target="consultantplus://offline/ref=18F01D29336DD843F1181F641BB6BD4F6ECD2888767DD1904B3C50E70764A43FB0517056599DEC5D72D4315D4ECB909FD0DA52BF343DBD4E25FE1Ca7H1K" TargetMode="External"/><Relationship Id="rId12" Type="http://schemas.openxmlformats.org/officeDocument/2006/relationships/hyperlink" Target="consultantplus://offline/ref=18F01D29336DD843F11801690DDAE1476BC3738C767DDAC211630BBA506DAE68F71E29161C94EB562685770E489FC4C585D44CB82A3FaBHFK" TargetMode="External"/><Relationship Id="rId17" Type="http://schemas.openxmlformats.org/officeDocument/2006/relationships/hyperlink" Target="consultantplus://offline/ref=18F01D29336DD843F11801690DDAE1476BC17182777ADAC211630BBA506DAE68E51E71181D95F35D71CA315B47a9H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01D29336DD843F11801690DDAE1476BC17182777DDAC211630BBA506DAE68E51E71181D95F35D71CA315B47a9HEK" TargetMode="External"/><Relationship Id="rId20" Type="http://schemas.openxmlformats.org/officeDocument/2006/relationships/hyperlink" Target="consultantplus://offline/ref=18F01D29336DD843F11801690DDAE1476BC17182777DDAC211630BBA506DAE68E51E71181D95F35D71CA315B47a9H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01D29336DD843F1181F641BB6BD4F6ECD28887473D190493C50E70764A43FB051704459C5E05D77CA33585B9DC1D9a8H4K" TargetMode="External"/><Relationship Id="rId11" Type="http://schemas.openxmlformats.org/officeDocument/2006/relationships/hyperlink" Target="consultantplus://offline/ref=18F01D29336DD843F1181F641BB6BD4F6ECD2888707BD5944F370DED0F3DA83DB75E2F415ED4E05C72D4335B4094958AC1825FBA2F23BE5339FC1E72a3H1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8F01D29336DD843F1181F641BB6BD4F6ECD2888707BD59044320DED0F3DA83DB75E2F414CD4B85072D12D5B4681C3DB87aDH6K" TargetMode="External"/><Relationship Id="rId15" Type="http://schemas.openxmlformats.org/officeDocument/2006/relationships/hyperlink" Target="consultantplus://offline/ref=18F01D29336DD843F11801690DDAE1476BC3738C767DDAC211630BBA506DAE68F71E29131F93EE562685770E489FC4C585D44CB82A3FaBHF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F01D29336DD843F1181F641BB6BD4F6ECD2888707AD9964F350DED0F3DA83DB75E2F415ED4E05C72D433594D94958AC1825FBA2F23BE5339FC1E72a3H1K" TargetMode="External"/><Relationship Id="rId19" Type="http://schemas.openxmlformats.org/officeDocument/2006/relationships/hyperlink" Target="consultantplus://offline/ref=18F01D29336DD843F11801690DDAE1476BC17182777ADAC211630BBA506DAE68E51E71181D95F35D71CA315B47a9HEK" TargetMode="External"/><Relationship Id="rId4" Type="http://schemas.openxmlformats.org/officeDocument/2006/relationships/hyperlink" Target="consultantplus://offline/ref=18F01D29336DD843F1181F641BB6BD4F6ECD2888707ED1944A300DED0F3DA83DB75E2F415ED4E05C72D4325D4094958AC1825FBA2F23BE5339FC1E72a3H1K" TargetMode="External"/><Relationship Id="rId9" Type="http://schemas.openxmlformats.org/officeDocument/2006/relationships/hyperlink" Target="consultantplus://offline/ref=18F01D29336DD843F1181F641BB6BD4F6ECD2888787AD294493C50E70764A43FB0517056599DEC5D72D433534ECB909FD0DA52BF343DBD4E25FE1Ca7H1K" TargetMode="External"/><Relationship Id="rId14" Type="http://schemas.openxmlformats.org/officeDocument/2006/relationships/hyperlink" Target="consultantplus://offline/ref=18F01D29336DD843F11801690DDAE1476BC3738C767DDAC211630BBA506DAE68F71E29141D93E95E70DF670A01CACCDB80C952B9343FBE52a2H6K" TargetMode="External"/><Relationship Id="rId22" Type="http://schemas.openxmlformats.org/officeDocument/2006/relationships/hyperlink" Target="consultantplus://offline/ref=18F01D29336DD843F11801690DDAE1476BC371877378DAC211630BBA506DAE68E51E71181D95F35D71CA315B47a9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6891</Words>
  <Characters>39283</Characters>
  <Application>Microsoft Office Word</Application>
  <DocSecurity>0</DocSecurity>
  <Lines>327</Lines>
  <Paragraphs>92</Paragraphs>
  <ScaleCrop>false</ScaleCrop>
  <Company>Reanimator Extreme Edition</Company>
  <LinksUpToDate>false</LinksUpToDate>
  <CharactersWithSpaces>46082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2021-03-05T10:07:00Z</dcterms:created>
  <dcterms:modified xsi:type="dcterms:W3CDTF">2021-03-22T07:42:00Z</dcterms:modified>
</cp:coreProperties>
</file>