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0" w:rsidRDefault="00D407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7A0" w:rsidRDefault="00D407A0">
      <w:pPr>
        <w:pStyle w:val="ConsPlusNormal"/>
        <w:jc w:val="both"/>
        <w:outlineLvl w:val="0"/>
      </w:pPr>
    </w:p>
    <w:p w:rsidR="00D407A0" w:rsidRDefault="00D407A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407A0" w:rsidRDefault="00D407A0">
      <w:pPr>
        <w:pStyle w:val="ConsPlusTitle"/>
        <w:jc w:val="center"/>
      </w:pPr>
      <w:r>
        <w:t>САМАРСКОЙ ОБЛАСТИ</w:t>
      </w:r>
    </w:p>
    <w:p w:rsidR="00D407A0" w:rsidRDefault="00D407A0">
      <w:pPr>
        <w:pStyle w:val="ConsPlusTitle"/>
        <w:jc w:val="both"/>
      </w:pPr>
    </w:p>
    <w:p w:rsidR="00D407A0" w:rsidRDefault="00D407A0">
      <w:pPr>
        <w:pStyle w:val="ConsPlusTitle"/>
        <w:jc w:val="center"/>
      </w:pPr>
      <w:r>
        <w:t>ПРИКАЗ</w:t>
      </w:r>
    </w:p>
    <w:p w:rsidR="00D407A0" w:rsidRDefault="00D407A0">
      <w:pPr>
        <w:pStyle w:val="ConsPlusTitle"/>
        <w:jc w:val="center"/>
      </w:pPr>
      <w:r>
        <w:t>от 12 января 2021 г. N 01-07/1н</w:t>
      </w:r>
    </w:p>
    <w:p w:rsidR="00D407A0" w:rsidRDefault="00D407A0">
      <w:pPr>
        <w:pStyle w:val="ConsPlusTitle"/>
        <w:jc w:val="both"/>
      </w:pPr>
    </w:p>
    <w:p w:rsidR="00D407A0" w:rsidRDefault="00D407A0">
      <w:pPr>
        <w:pStyle w:val="ConsPlusTitle"/>
        <w:jc w:val="center"/>
      </w:pPr>
      <w:r>
        <w:t>ОБ УТВЕРЖДЕНИИ ПОРЯДКА ОСУЩЕСТВЛЕНИЯ ОПЕРАЦИЙ ЗА СЧЕТ</w:t>
      </w:r>
    </w:p>
    <w:p w:rsidR="00D407A0" w:rsidRDefault="00D407A0">
      <w:pPr>
        <w:pStyle w:val="ConsPlusTitle"/>
        <w:jc w:val="center"/>
      </w:pPr>
      <w:r>
        <w:t>СРЕДСТВ ЮРИДИЧЕСКИХ ЛИЦ, НЕ ЯВЛЯЮЩИХСЯ УЧАСТНИКАМИ</w:t>
      </w:r>
    </w:p>
    <w:p w:rsidR="00D407A0" w:rsidRDefault="00D407A0">
      <w:pPr>
        <w:pStyle w:val="ConsPlusTitle"/>
        <w:jc w:val="center"/>
      </w:pPr>
      <w:r>
        <w:t>БЮДЖЕТНОГО ПРОЦЕССА, БЮДЖЕТНЫМИ И АВТОНОМНЫМИ УЧРЕЖДЕНИЯМИ,</w:t>
      </w:r>
    </w:p>
    <w:p w:rsidR="00D407A0" w:rsidRDefault="00D407A0">
      <w:pPr>
        <w:pStyle w:val="ConsPlusTitle"/>
        <w:jc w:val="center"/>
      </w:pPr>
      <w:r>
        <w:t>ЗА ИСКЛЮЧЕНИЕМ ГОСУДАРСТВЕННЫХ УНИТАРНЫХ ПРЕДПРИЯТИЙ</w:t>
      </w:r>
    </w:p>
    <w:p w:rsidR="00D407A0" w:rsidRDefault="00D407A0">
      <w:pPr>
        <w:pStyle w:val="ConsPlusTitle"/>
        <w:jc w:val="center"/>
      </w:pPr>
      <w:r>
        <w:t>САМАРСКОЙ ОБЛАСТИ И НЕКОММЕРЧЕСКИХ ОРГАНИЗАЦИЙ, СОЗДАННЫХ</w:t>
      </w:r>
    </w:p>
    <w:p w:rsidR="00D407A0" w:rsidRDefault="00D407A0">
      <w:pPr>
        <w:pStyle w:val="ConsPlusTitle"/>
        <w:jc w:val="center"/>
      </w:pPr>
      <w:r>
        <w:t>В ОРГАНИЗАЦИОННО-ПРАВОВОЙ ФОРМЕ ФОНДА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операций за счет средств юридических лиц, не являющихся участниками бюджетного процесса, бюджетными и автономными учреждениями, 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right"/>
      </w:pPr>
      <w:r>
        <w:t>Министр</w:t>
      </w:r>
    </w:p>
    <w:p w:rsidR="00D407A0" w:rsidRDefault="00D407A0">
      <w:pPr>
        <w:pStyle w:val="ConsPlusNormal"/>
        <w:jc w:val="right"/>
      </w:pPr>
      <w:r>
        <w:t>А.В.ПРЯМИЛОВ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right"/>
        <w:outlineLvl w:val="0"/>
      </w:pPr>
      <w:r>
        <w:t>Утвержден</w:t>
      </w:r>
    </w:p>
    <w:p w:rsidR="00D407A0" w:rsidRDefault="00D407A0">
      <w:pPr>
        <w:pStyle w:val="ConsPlusNormal"/>
        <w:jc w:val="right"/>
      </w:pPr>
      <w:r>
        <w:t>Приказом</w:t>
      </w:r>
    </w:p>
    <w:p w:rsidR="00D407A0" w:rsidRDefault="00D407A0">
      <w:pPr>
        <w:pStyle w:val="ConsPlusNormal"/>
        <w:jc w:val="right"/>
      </w:pPr>
      <w:r>
        <w:t>министерства управления финансами</w:t>
      </w:r>
    </w:p>
    <w:p w:rsidR="00D407A0" w:rsidRDefault="00D407A0">
      <w:pPr>
        <w:pStyle w:val="ConsPlusNormal"/>
        <w:jc w:val="right"/>
      </w:pPr>
      <w:r>
        <w:t>Самарской области</w:t>
      </w:r>
    </w:p>
    <w:p w:rsidR="00D407A0" w:rsidRDefault="00D407A0">
      <w:pPr>
        <w:pStyle w:val="ConsPlusNormal"/>
        <w:jc w:val="right"/>
      </w:pPr>
      <w:r>
        <w:t>от 12 января 2021 г. N 01-07/1н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Title"/>
        <w:jc w:val="center"/>
      </w:pPr>
      <w:bookmarkStart w:id="0" w:name="P33"/>
      <w:bookmarkEnd w:id="0"/>
      <w:r>
        <w:t>ПОРЯДОК</w:t>
      </w:r>
    </w:p>
    <w:p w:rsidR="00D407A0" w:rsidRDefault="00D407A0">
      <w:pPr>
        <w:pStyle w:val="ConsPlusTitle"/>
        <w:jc w:val="center"/>
      </w:pPr>
      <w:r>
        <w:t>ОСУЩЕСТВЛЕНИЯ ОПЕРАЦИЙ ЗА СЧЕТ СРЕДСТВ ЮРИДИЧЕСКИХ ЛИЦ,</w:t>
      </w:r>
    </w:p>
    <w:p w:rsidR="00D407A0" w:rsidRDefault="00D407A0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УЧАСТНИКАМИ БЮДЖЕТНОГО ПРОЦЕССА, БЮДЖЕТНЫМИ</w:t>
      </w:r>
    </w:p>
    <w:p w:rsidR="00D407A0" w:rsidRDefault="00D407A0">
      <w:pPr>
        <w:pStyle w:val="ConsPlusTitle"/>
        <w:jc w:val="center"/>
      </w:pPr>
      <w:r>
        <w:t xml:space="preserve">И АВТОНОМНЫМИ УЧРЕЖДЕНИЯМИ, ЗА ИСКЛЮЧЕНИЕМ </w:t>
      </w:r>
      <w:proofErr w:type="gramStart"/>
      <w:r>
        <w:t>ГОСУДАРСТВЕННЫХ</w:t>
      </w:r>
      <w:proofErr w:type="gramEnd"/>
    </w:p>
    <w:p w:rsidR="00D407A0" w:rsidRDefault="00D407A0">
      <w:pPr>
        <w:pStyle w:val="ConsPlusTitle"/>
        <w:jc w:val="center"/>
      </w:pPr>
      <w:r>
        <w:t>УНИТАРНЫХ ПРЕДПРИЯТИЙ САМАРСКОЙ ОБЛАСТИ И НЕКОММЕРЧЕСКИХ</w:t>
      </w:r>
    </w:p>
    <w:p w:rsidR="00D407A0" w:rsidRDefault="00D407A0">
      <w:pPr>
        <w:pStyle w:val="ConsPlusTitle"/>
        <w:jc w:val="center"/>
      </w:pPr>
      <w:r>
        <w:t>ОРГАНИЗАЦИЙ, СОЗДАННЫХ В ОРГАНИЗАЦИОННО-ПРАВОВОЙ ФОРМЕ ФОНДА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Title"/>
        <w:jc w:val="center"/>
        <w:outlineLvl w:val="1"/>
      </w:pPr>
      <w:r>
        <w:t>1. Общие положения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ind w:firstLine="540"/>
        <w:jc w:val="both"/>
      </w:pPr>
      <w:r>
        <w:t xml:space="preserve">1.1. 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 и юридических лиц, не являющихся участниками бюджетного процесса, бюджетными и автономными учреждениями, 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органы исполнительной власти Самарской области (далее - клиент), при осуществлении операций с лицевых счетов, открытых им в соответствии с приказом министерства, регулирующим порядок открытия и ведения лицевых счетов в министерстве.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D407A0" w:rsidRDefault="00D407A0">
      <w:pPr>
        <w:pStyle w:val="ConsPlusNormal"/>
        <w:spacing w:before="220"/>
        <w:ind w:firstLine="540"/>
        <w:jc w:val="both"/>
      </w:pPr>
      <w:proofErr w:type="gramStart"/>
      <w:r>
        <w:t xml:space="preserve">Учет операций со средствами клиентов, источником финансового обеспечения которых являются средства, полученные из областного бюджета Самарской области 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, </w:t>
      </w:r>
      <w:hyperlink r:id="rId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8" w:history="1">
        <w:r>
          <w:rPr>
            <w:color w:val="0000FF"/>
          </w:rPr>
          <w:t>4 статьи 78.1</w:t>
        </w:r>
      </w:hyperlink>
      <w:r>
        <w:t xml:space="preserve">, </w:t>
      </w:r>
      <w:hyperlink r:id="rId9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производится на лицевых счетах, открытых в соответствии с приказом министерства, регулирующим порядок открытия и ведения лицевых счетов.</w:t>
      </w:r>
      <w:proofErr w:type="gramEnd"/>
    </w:p>
    <w:p w:rsidR="00D407A0" w:rsidRDefault="00D407A0">
      <w:pPr>
        <w:pStyle w:val="ConsPlusNormal"/>
        <w:spacing w:before="220"/>
        <w:ind w:firstLine="540"/>
        <w:jc w:val="both"/>
      </w:pPr>
      <w:r>
        <w:t>Перечень направлений расходов, источником финансового обеспечения которых являются субсидии, гранты в форме субсидий, бюджетные инвестиции, предоставляемые клиентам и подлежащие учету на лицевых счетах, открытых в министерстве, устанавливается Правительством Самарской области.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1.2. Министерство заключает с клиентами договоры об организации электронного юридически значимого документооборота.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Министерство обеспечивает установку клиентам удаленных рабочих мест автоматизированной системы "Бюджет" (далее соответственно - УРМ, АС "Бюджет"), возможность использования в УРМ квалифицированной электронной подписи (далее - ЭП) и формирования сертификата ЭП в уполномоченном удостоверяющем центре.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Title"/>
        <w:jc w:val="center"/>
        <w:outlineLvl w:val="1"/>
      </w:pPr>
      <w:r>
        <w:t>2. Осуществление перечислений за счет сре</w:t>
      </w:r>
      <w:proofErr w:type="gramStart"/>
      <w:r>
        <w:t>дств кл</w:t>
      </w:r>
      <w:proofErr w:type="gramEnd"/>
      <w:r>
        <w:t>иентов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ind w:firstLine="540"/>
        <w:jc w:val="both"/>
      </w:pPr>
      <w:r>
        <w:t xml:space="preserve">2.1. В целях осуществления перечислений клиент представляет в управление предварительного контроля и учета бюджетных обязательств департамента исполнения областного бюджета и отчетности министерства (далее соответственно - управление предконтроля, департамент) или территориальный отдел департамента (далее - территориальный отдел) распоряжения о совершении казначейских платежей в виде платежных поручений (далее - распоряжения). Распоряжения оформляются в соответствии с требованиями </w:t>
      </w:r>
      <w:hyperlink r:id="rId10" w:history="1">
        <w:r>
          <w:rPr>
            <w:color w:val="0000FF"/>
          </w:rPr>
          <w:t>приказа</w:t>
        </w:r>
      </w:hyperlink>
      <w:r>
        <w:t xml:space="preserve"> Казначейства России от 14.05.2020 N 21н "О Порядке казначейского обслуживания", установленными для юридических лиц, не являющихся участниками бюджетного процесса, бюджетными и автономными учреждениями, и настоящим Порядком.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В Распоряжении в поле "Назначение платежа" клиентом дополнительно указывается код типа средств.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Распоряжения представляются клиентом в электронном виде в УРМ с применением ЭП. В случае отсутствия или невозможности применения ЭП распоряжения представляются клиентом в управление предконтроля или территориальный отдел в электронном виде с использованием УРМ, а также на бумажном носителе в двух экземплярах.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 xml:space="preserve">Сумма распоряжения не должна превышать свободный остаток средств на лицевом счете </w:t>
      </w:r>
      <w:r>
        <w:lastRenderedPageBreak/>
        <w:t>клиента.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Свободный остаток средств на лицевом счете клиента определяется как разница между объемом средств, отраженным на лицевом счете по соответствующему типу средств, и объемом перечислений клиента с начала финансового года по соответствующему типу средств с учетом возврата средств.</w:t>
      </w:r>
    </w:p>
    <w:p w:rsidR="00D407A0" w:rsidRDefault="00D407A0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2.2. Управление предконтроля или территориальный отдел не позднее третьего рабочего дня, следующего за днем представления клиентом распоряжения, принимают к исполнению или отклоняют распоряжение.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2.3. Управление предконтроля или территориальный отдел отклоняют распоряжение в случаях: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превышения суммы распоряжения над свободным остатком средств на соответствующем лицевом счете клиента;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несоответствия формы распоряжения установленной форме (в случае представления на бумажном носителе);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неверного и (или) неполного заполнения информации в электронном виде в УРМ;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несоответствия подписей руководителя и главного бухгалтера (иных лиц, имеющих право первой и второй подписи) и (или) оттиска печати клиента в распоряжении образцам подписей и оттиска печати в карточке с образцами подписей и оттиска печати (далее - карточка), в случае предоставлении на бумажном носителе;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непредставления клиентом документов о наличии полномочий должностных лиц, имеющих право подписи в соответствии с карточкой;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>отсутствия и (или) неверного указания в поле "Назначение платежа" кода типа средств.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 xml:space="preserve">В случае если распоряжение представлено в управление предконтроля или территориальный отдел с использованием УРМ в электронном виде с ЭП, причины отклонения не позднее срока, указанного в </w:t>
      </w:r>
      <w:hyperlink w:anchor="P56" w:history="1">
        <w:r>
          <w:rPr>
            <w:color w:val="0000FF"/>
          </w:rPr>
          <w:t>пункте 2.2</w:t>
        </w:r>
      </w:hyperlink>
      <w:r>
        <w:t xml:space="preserve"> настоящего Порядка, отражаются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D407A0" w:rsidRDefault="00D407A0">
      <w:pPr>
        <w:pStyle w:val="ConsPlusNormal"/>
        <w:spacing w:before="220"/>
        <w:ind w:firstLine="540"/>
        <w:jc w:val="both"/>
      </w:pPr>
      <w:r>
        <w:t xml:space="preserve">В случае отсутствия или невозможности применения ЭП причины отклонения распоряжения, представленного на бумажном носителе, проставляются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дополнительно указываются на всех экземплярах распоряжения, один из которых возвращается клиенту.</w:t>
      </w: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jc w:val="both"/>
      </w:pPr>
    </w:p>
    <w:p w:rsidR="00D407A0" w:rsidRDefault="00D40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E5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07A0"/>
    <w:rsid w:val="007A2A4C"/>
    <w:rsid w:val="008843BF"/>
    <w:rsid w:val="00C628BD"/>
    <w:rsid w:val="00D4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17A33BE09DCB7C2690911511E38D21274F68052CE4FB508D3AEE8844C17C40A755A63F5BFFB56EA36AB177C91F08906181FE9058AAD35OEQ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17A33BE09DCB7C2690911511E38D21274F68052CE4FB508D3AEE8844C17C40A755A63F5BFFA52ED36AB177C91F08906181FE9058AAD35OEQ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17A33BE09DCB7C2690911511E38D21274F68052CE4FB508D3AEE8844C17C40A755A63F5BFFC5CED36AB177C91F08906181FE9058AAD35OEQ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517A33BE09DCB7C269171C477264DA1777A08457CB44E35380A8BFDB1C11914A355C36B6F8F254E83DFF4738CFA9D8455312ED1C96AD33FA2DDB34O5QEH" TargetMode="External"/><Relationship Id="rId10" Type="http://schemas.openxmlformats.org/officeDocument/2006/relationships/hyperlink" Target="consultantplus://offline/ref=CC517A33BE09DCB7C2690911511E38D21279F98B54CD4FB508D3AEE8844C17C41875026FF5BBE155EC23FD463AOCQ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517A33BE09DCB7C2690911511E38D21274F68052CE4FB508D3AEE8844C17C40A755A63F5BFFE51EA36AB177C91F08906181FE9058AAD35OE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2022-04-07T07:16:00Z</dcterms:created>
  <dcterms:modified xsi:type="dcterms:W3CDTF">2022-04-07T07:16:00Z</dcterms:modified>
</cp:coreProperties>
</file>