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0F" w:rsidRDefault="009D2E0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2E0F" w:rsidRDefault="009D2E0F">
      <w:pPr>
        <w:pStyle w:val="ConsPlusNormal"/>
        <w:jc w:val="both"/>
        <w:outlineLvl w:val="0"/>
      </w:pPr>
    </w:p>
    <w:p w:rsidR="009D2E0F" w:rsidRDefault="009D2E0F">
      <w:pPr>
        <w:pStyle w:val="ConsPlusNormal"/>
      </w:pPr>
      <w:r>
        <w:t>Зарегистрировано в министерстве управления финансами Самарской области 5 сентября 2023 г. N МФ-23-01-07/59</w:t>
      </w:r>
    </w:p>
    <w:p w:rsidR="009D2E0F" w:rsidRDefault="009D2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Title"/>
        <w:jc w:val="center"/>
      </w:pPr>
      <w:r>
        <w:t>МИНИСТЕРСТВО УПРАВЛЕНИЯ ФИНАНСАМИ</w:t>
      </w:r>
    </w:p>
    <w:p w:rsidR="009D2E0F" w:rsidRDefault="009D2E0F">
      <w:pPr>
        <w:pStyle w:val="ConsPlusTitle"/>
        <w:jc w:val="center"/>
      </w:pPr>
      <w:r>
        <w:t>САМАРСКОЙ ОБЛАСТИ</w:t>
      </w:r>
    </w:p>
    <w:p w:rsidR="009D2E0F" w:rsidRDefault="009D2E0F">
      <w:pPr>
        <w:pStyle w:val="ConsPlusTitle"/>
        <w:jc w:val="both"/>
      </w:pPr>
    </w:p>
    <w:p w:rsidR="009D2E0F" w:rsidRDefault="009D2E0F">
      <w:pPr>
        <w:pStyle w:val="ConsPlusTitle"/>
        <w:jc w:val="center"/>
      </w:pPr>
      <w:r>
        <w:t>ПРИКАЗ</w:t>
      </w:r>
    </w:p>
    <w:p w:rsidR="009D2E0F" w:rsidRDefault="009D2E0F">
      <w:pPr>
        <w:pStyle w:val="ConsPlusTitle"/>
        <w:jc w:val="center"/>
      </w:pPr>
      <w:r>
        <w:t>от 5 сентября 2023 г. N 01-07/59н</w:t>
      </w:r>
    </w:p>
    <w:p w:rsidR="009D2E0F" w:rsidRDefault="009D2E0F">
      <w:pPr>
        <w:pStyle w:val="ConsPlusTitle"/>
        <w:jc w:val="both"/>
      </w:pPr>
    </w:p>
    <w:p w:rsidR="009D2E0F" w:rsidRDefault="009D2E0F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9D2E0F" w:rsidRDefault="009D2E0F">
      <w:pPr>
        <w:pStyle w:val="ConsPlusTitle"/>
        <w:jc w:val="center"/>
      </w:pPr>
      <w:r>
        <w:t>ФИНАНСАМИ САМАРСКОЙ ОБЛАСТИ ОТ 17.08.2018 N 01-07/48 "</w:t>
      </w:r>
      <w:proofErr w:type="gramStart"/>
      <w:r>
        <w:t>ОБ</w:t>
      </w:r>
      <w:proofErr w:type="gramEnd"/>
    </w:p>
    <w:p w:rsidR="009D2E0F" w:rsidRDefault="009D2E0F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МЕТОДИКИ ПРОВЕДЕНИЯ КОНКУРСОВ НА ЗАМЕЩЕНИЕ</w:t>
      </w:r>
    </w:p>
    <w:p w:rsidR="009D2E0F" w:rsidRDefault="009D2E0F">
      <w:pPr>
        <w:pStyle w:val="ConsPlusTitle"/>
        <w:jc w:val="center"/>
      </w:pPr>
      <w:r>
        <w:t>ВАКАНТНЫХ ДОЛЖНОСТЕЙ ГОСУДАРСТВЕННОЙ ГРАЖДАНСКОЙ СЛУЖБЫ</w:t>
      </w:r>
    </w:p>
    <w:p w:rsidR="009D2E0F" w:rsidRDefault="009D2E0F">
      <w:pPr>
        <w:pStyle w:val="ConsPlusTitle"/>
        <w:jc w:val="center"/>
      </w:pPr>
      <w:r>
        <w:t>САМАРСКОЙ ОБЛАСТИ И ВКЛЮЧЕНИЕ В КАДРОВЫЙ РЕЗЕРВ</w:t>
      </w:r>
    </w:p>
    <w:p w:rsidR="009D2E0F" w:rsidRDefault="009D2E0F">
      <w:pPr>
        <w:pStyle w:val="ConsPlusTitle"/>
        <w:jc w:val="center"/>
      </w:pPr>
      <w:r>
        <w:t>НА ГОСУДАРСТВЕННОЙ ГРАЖДАНСКОЙ СЛУЖБЕ САМАРСКОЙ ОБЛАСТИ</w:t>
      </w:r>
    </w:p>
    <w:p w:rsidR="009D2E0F" w:rsidRDefault="009D2E0F">
      <w:pPr>
        <w:pStyle w:val="ConsPlusTitle"/>
        <w:jc w:val="center"/>
      </w:pPr>
      <w:r>
        <w:t>В МИНИСТЕРСТВЕ УПРАВЛЕНИЯ ФИНАНСАМИ САМАРСКОЙ ОБЛАСТИ"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01.02.2005 N 112 "О конкурсе на замещение вакантной должности государственной гражданской службы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31.03.2018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</w:t>
      </w:r>
      <w:proofErr w:type="gramEnd"/>
      <w:r>
        <w:t xml:space="preserve"> кадровый резерв государственных органов" приказываю: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17.08.2018 N 01-07/48 "Об утверждении методики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министерстве управления финансами Самарской области" (далее - Приказ) следующие изменения: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3</w:t>
        </w:r>
      </w:hyperlink>
      <w:r>
        <w:t xml:space="preserve"> Приказа слова "управления организации деятельности" заменить словами "департамента организации и трансформации процессов управления";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методике</w:t>
        </w:r>
      </w:hyperlink>
      <w:r>
        <w:t xml:space="preserve"> проведения конкурсов на замещение вакантных должностей государственной гражданской службы и включение в кадровый резерв на государственной гражданской службе Самарской области в министерстве управления финансами Самарской области (далее - Методика):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2</w:t>
        </w:r>
      </w:hyperlink>
      <w:r>
        <w:t>: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слова</w:t>
        </w:r>
      </w:hyperlink>
      <w:r>
        <w:t xml:space="preserve"> "а также их соответствия" заменить словами "проверки их соответствия иным";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дополнить</w:t>
        </w:r>
      </w:hyperlink>
      <w:r>
        <w:t xml:space="preserve"> словами "и определения по результатам </w:t>
      </w:r>
      <w:proofErr w:type="gramStart"/>
      <w:r>
        <w:t>таких</w:t>
      </w:r>
      <w:proofErr w:type="gramEnd"/>
      <w:r>
        <w:t xml:space="preserve"> оценки и проверки кандидата для назначения на должность гражданской службы";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пункт 4</w:t>
        </w:r>
      </w:hyperlink>
      <w:r>
        <w:t xml:space="preserve"> после слов "методов оценки" дополнить словами "профессионального уровня</w:t>
      </w:r>
      <w:proofErr w:type="gramStart"/>
      <w:r>
        <w:t>,"</w:t>
      </w:r>
      <w:proofErr w:type="gramEnd"/>
      <w:r>
        <w:t>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5</w:t>
        </w:r>
      </w:hyperlink>
      <w:r>
        <w:t>: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слова</w:t>
        </w:r>
      </w:hyperlink>
      <w:r>
        <w:t xml:space="preserve"> "управлением организации деятельности министерства управления финансами Самарской области" заменить словами "департаментом организации и трансформации процессов управления министерства (далее - департамент)";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дополнить</w:t>
        </w:r>
      </w:hyperlink>
      <w:r>
        <w:t xml:space="preserve"> абзацем вторым следующего содержания: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"По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специальности, направлению подготовки (укрупненным группам специальностей и направлений подготовки), а также квалификации, полученной по результатам освоения дополнительной профессиональной программы профессиональной переподготовки</w:t>
      </w:r>
      <w:proofErr w:type="gramStart"/>
      <w:r>
        <w:t>.";</w:t>
      </w:r>
      <w:proofErr w:type="gramEnd"/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19">
        <w:r>
          <w:rPr>
            <w:color w:val="0000FF"/>
          </w:rPr>
          <w:t>пункте 6</w:t>
        </w:r>
      </w:hyperlink>
      <w:r>
        <w:t xml:space="preserve"> слова ", их соответствия квалификационным требованиям" исключить;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20">
        <w:r>
          <w:rPr>
            <w:color w:val="0000FF"/>
          </w:rPr>
          <w:t>пункте 7</w:t>
        </w:r>
      </w:hyperlink>
      <w:r>
        <w:t xml:space="preserve"> слова "Оценка соответствия кандидатов" заменить словами "Оценка профессионального уровня кандидатов, проверка их соответствия иным установленным";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21">
        <w:r>
          <w:rPr>
            <w:color w:val="0000FF"/>
          </w:rPr>
          <w:t>пункте 8</w:t>
        </w:r>
      </w:hyperlink>
      <w:r>
        <w:t>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2">
        <w:r>
          <w:rPr>
            <w:color w:val="0000FF"/>
          </w:rPr>
          <w:t>слов</w:t>
        </w:r>
      </w:hyperlink>
      <w:r>
        <w:t xml:space="preserve"> "Методы оценки" дополнить словами "и соответствующие им конкурсные задания, сформированные департаментом с участием структурных подразделений министерства, в которых учреждены вакантные должности гражданской службы</w:t>
      </w:r>
      <w:proofErr w:type="gramStart"/>
      <w:r>
        <w:t>,"</w:t>
      </w:r>
      <w:proofErr w:type="gramEnd"/>
      <w:r>
        <w:t>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слово</w:t>
        </w:r>
      </w:hyperlink>
      <w:r>
        <w:t xml:space="preserve"> "стратегическое" заменить словом "аналитическое";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пункте 11</w:t>
        </w:r>
      </w:hyperlink>
      <w:r>
        <w:t xml:space="preserve"> слова "не реже одного раза в год" заменить словами "как правило, ежегодно";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25">
        <w:r>
          <w:rPr>
            <w:color w:val="0000FF"/>
          </w:rPr>
          <w:t>абзаце восьмом пункта 16</w:t>
        </w:r>
      </w:hyperlink>
      <w:r>
        <w:t xml:space="preserve"> слова "метод оценки профессиональных и личностных качеств кандидатов" заменить словами "методы оценки";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пункте 20</w:t>
        </w:r>
      </w:hyperlink>
      <w:r>
        <w:t>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27">
        <w:r>
          <w:rPr>
            <w:color w:val="0000FF"/>
          </w:rPr>
          <w:t>слов</w:t>
        </w:r>
      </w:hyperlink>
      <w:r>
        <w:t xml:space="preserve"> "Конкурсная комиссия оценивает" дополнить словами "профессиональный уровень";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слова</w:t>
        </w:r>
      </w:hyperlink>
      <w:r>
        <w:t xml:space="preserve"> "документов об образовании и о квалификации" заменить словами "документов об образовании и (или) о квалификации (документов о присвоении ученой степени, ученого звания (при наличии)";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дополнить</w:t>
        </w:r>
      </w:hyperlink>
      <w:r>
        <w:t xml:space="preserve"> пунктом 20.1 следующего содержания: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"20.1. </w:t>
      </w:r>
      <w:proofErr w:type="gramStart"/>
      <w:r>
        <w:t>Конкурсная комиссия осуществляет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требования).";</w:t>
      </w:r>
      <w:proofErr w:type="gramEnd"/>
    </w:p>
    <w:p w:rsidR="009D2E0F" w:rsidRDefault="009D2E0F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пункт 23</w:t>
        </w:r>
      </w:hyperlink>
      <w:r>
        <w:t xml:space="preserve"> изложить в следующей редакции: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"23. В ходе конкурсных процедур проводится тестирование: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3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</w:t>
      </w:r>
      <w:r>
        <w:lastRenderedPageBreak/>
        <w:t>сфере информационно-коммуникационных технологий;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</w:t>
      </w:r>
      <w:proofErr w:type="gramStart"/>
      <w:r>
        <w:t>."</w:t>
      </w:r>
      <w:proofErr w:type="gramEnd"/>
      <w:r>
        <w:t>;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пункт 27</w:t>
        </w:r>
      </w:hyperlink>
      <w:r>
        <w:t xml:space="preserve"> дополнить абзацем вторым следующего содержания: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"Министерством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</w:t>
      </w:r>
      <w:proofErr w:type="gramStart"/>
      <w:r>
        <w:t>.";</w:t>
      </w:r>
      <w:proofErr w:type="gramEnd"/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33">
        <w:r>
          <w:rPr>
            <w:color w:val="0000FF"/>
          </w:rPr>
          <w:t>пункте 28</w:t>
        </w:r>
      </w:hyperlink>
      <w:r>
        <w:t>:</w:t>
      </w:r>
    </w:p>
    <w:p w:rsidR="009D2E0F" w:rsidRDefault="009D2E0F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абзац первый</w:t>
        </w:r>
      </w:hyperlink>
      <w:r>
        <w:t xml:space="preserve"> дополнить предложением следующего содержания: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"При проведении индивидуального собеседования конкурсной комиссией по решению представителя нанимателя ведется виде</w:t>
      </w:r>
      <w:proofErr w:type="gramStart"/>
      <w:r>
        <w:t>о-</w:t>
      </w:r>
      <w:proofErr w:type="gramEnd"/>
      <w: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процедурах.";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абзаце втором</w:t>
        </w:r>
      </w:hyperlink>
      <w:r>
        <w:t xml:space="preserve"> слова ", и позволяет сравнивать ответы и реакцию разных кандидатов на одни и те же вопросы для максимального объективного их учета, в том числе при дальнейших конкурсных процедурах" исключить;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наименовании приложения 1</w:t>
        </w:r>
      </w:hyperlink>
      <w:r>
        <w:t xml:space="preserve"> к Методике после слов "методы оценки" дополнить словами "профессионального уровня</w:t>
      </w:r>
      <w:proofErr w:type="gramStart"/>
      <w:r>
        <w:t>,"</w:t>
      </w:r>
      <w:proofErr w:type="gramEnd"/>
      <w:r>
        <w:t>;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в </w:t>
      </w:r>
      <w:hyperlink r:id="rId37">
        <w:r>
          <w:rPr>
            <w:color w:val="0000FF"/>
          </w:rPr>
          <w:t>наименовании приложения 2</w:t>
        </w:r>
      </w:hyperlink>
      <w:r>
        <w:t xml:space="preserve"> к Методике после слов "методов оценки" дополнить словами "профессионального уровня</w:t>
      </w:r>
      <w:proofErr w:type="gramStart"/>
      <w:r>
        <w:t>,"</w:t>
      </w:r>
      <w:proofErr w:type="gramEnd"/>
      <w:r>
        <w:t>.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департамент организации и трансформации процессов управления министерства.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9D2E0F" w:rsidRDefault="009D2E0F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right"/>
      </w:pPr>
      <w:r>
        <w:t>Министр</w:t>
      </w:r>
    </w:p>
    <w:p w:rsidR="009D2E0F" w:rsidRDefault="009D2E0F">
      <w:pPr>
        <w:pStyle w:val="ConsPlusNormal"/>
        <w:jc w:val="right"/>
      </w:pPr>
      <w:r>
        <w:t>А.В.ПРЯМИЛОВ</w:t>
      </w: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jc w:val="both"/>
      </w:pPr>
    </w:p>
    <w:p w:rsidR="009D2E0F" w:rsidRDefault="009D2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21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9D2E0F"/>
    <w:rsid w:val="00095E64"/>
    <w:rsid w:val="00101F10"/>
    <w:rsid w:val="0055420B"/>
    <w:rsid w:val="0056711B"/>
    <w:rsid w:val="0084782E"/>
    <w:rsid w:val="0092280C"/>
    <w:rsid w:val="009D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2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2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0045" TargetMode="External"/><Relationship Id="rId13" Type="http://schemas.openxmlformats.org/officeDocument/2006/relationships/hyperlink" Target="https://login.consultant.ru/link/?req=doc&amp;base=RLAW256&amp;n=160045&amp;dst=100015" TargetMode="External"/><Relationship Id="rId18" Type="http://schemas.openxmlformats.org/officeDocument/2006/relationships/hyperlink" Target="https://login.consultant.ru/link/?req=doc&amp;base=RLAW256&amp;n=160045&amp;dst=100023" TargetMode="External"/><Relationship Id="rId26" Type="http://schemas.openxmlformats.org/officeDocument/2006/relationships/hyperlink" Target="https://login.consultant.ru/link/?req=doc&amp;base=RLAW256&amp;n=160045&amp;dst=100051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256&amp;n=160045&amp;dst=100026" TargetMode="External"/><Relationship Id="rId34" Type="http://schemas.openxmlformats.org/officeDocument/2006/relationships/hyperlink" Target="https://login.consultant.ru/link/?req=doc&amp;base=RLAW256&amp;n=160045&amp;dst=100062" TargetMode="External"/><Relationship Id="rId7" Type="http://schemas.openxmlformats.org/officeDocument/2006/relationships/hyperlink" Target="https://login.consultant.ru/link/?req=doc&amp;base=LAW&amp;n=450196" TargetMode="External"/><Relationship Id="rId12" Type="http://schemas.openxmlformats.org/officeDocument/2006/relationships/hyperlink" Target="https://login.consultant.ru/link/?req=doc&amp;base=RLAW256&amp;n=160045&amp;dst=100015" TargetMode="External"/><Relationship Id="rId17" Type="http://schemas.openxmlformats.org/officeDocument/2006/relationships/hyperlink" Target="https://login.consultant.ru/link/?req=doc&amp;base=RLAW256&amp;n=160045&amp;dst=100023" TargetMode="External"/><Relationship Id="rId25" Type="http://schemas.openxmlformats.org/officeDocument/2006/relationships/hyperlink" Target="https://login.consultant.ru/link/?req=doc&amp;base=RLAW256&amp;n=160045&amp;dst=100042" TargetMode="External"/><Relationship Id="rId33" Type="http://schemas.openxmlformats.org/officeDocument/2006/relationships/hyperlink" Target="https://login.consultant.ru/link/?req=doc&amp;base=RLAW256&amp;n=160045&amp;dst=10006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60045&amp;dst=100023" TargetMode="External"/><Relationship Id="rId20" Type="http://schemas.openxmlformats.org/officeDocument/2006/relationships/hyperlink" Target="https://login.consultant.ru/link/?req=doc&amp;base=RLAW256&amp;n=160045&amp;dst=100025" TargetMode="External"/><Relationship Id="rId29" Type="http://schemas.openxmlformats.org/officeDocument/2006/relationships/hyperlink" Target="https://login.consultant.ru/link/?req=doc&amp;base=RLAW256&amp;n=160045&amp;dst=10001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216" TargetMode="External"/><Relationship Id="rId11" Type="http://schemas.openxmlformats.org/officeDocument/2006/relationships/hyperlink" Target="https://login.consultant.ru/link/?req=doc&amp;base=RLAW256&amp;n=160045&amp;dst=100015" TargetMode="External"/><Relationship Id="rId24" Type="http://schemas.openxmlformats.org/officeDocument/2006/relationships/hyperlink" Target="https://login.consultant.ru/link/?req=doc&amp;base=RLAW256&amp;n=160045&amp;dst=100029" TargetMode="External"/><Relationship Id="rId32" Type="http://schemas.openxmlformats.org/officeDocument/2006/relationships/hyperlink" Target="https://login.consultant.ru/link/?req=doc&amp;base=RLAW256&amp;n=160045&amp;dst=100061" TargetMode="External"/><Relationship Id="rId37" Type="http://schemas.openxmlformats.org/officeDocument/2006/relationships/hyperlink" Target="https://login.consultant.ru/link/?req=doc&amp;base=RLAW256&amp;n=160045&amp;dst=100097" TargetMode="External"/><Relationship Id="rId5" Type="http://schemas.openxmlformats.org/officeDocument/2006/relationships/hyperlink" Target="https://login.consultant.ru/link/?req=doc&amp;base=LAW&amp;n=452895" TargetMode="External"/><Relationship Id="rId15" Type="http://schemas.openxmlformats.org/officeDocument/2006/relationships/hyperlink" Target="https://login.consultant.ru/link/?req=doc&amp;base=RLAW256&amp;n=160045&amp;dst=100022" TargetMode="External"/><Relationship Id="rId23" Type="http://schemas.openxmlformats.org/officeDocument/2006/relationships/hyperlink" Target="https://login.consultant.ru/link/?req=doc&amp;base=RLAW256&amp;n=160045&amp;dst=100026" TargetMode="External"/><Relationship Id="rId28" Type="http://schemas.openxmlformats.org/officeDocument/2006/relationships/hyperlink" Target="https://login.consultant.ru/link/?req=doc&amp;base=RLAW256&amp;n=160045&amp;dst=100051" TargetMode="External"/><Relationship Id="rId36" Type="http://schemas.openxmlformats.org/officeDocument/2006/relationships/hyperlink" Target="https://login.consultant.ru/link/?req=doc&amp;base=RLAW256&amp;n=160045&amp;dst=100074" TargetMode="External"/><Relationship Id="rId10" Type="http://schemas.openxmlformats.org/officeDocument/2006/relationships/hyperlink" Target="https://login.consultant.ru/link/?req=doc&amp;base=RLAW256&amp;n=160045&amp;dst=100012" TargetMode="External"/><Relationship Id="rId19" Type="http://schemas.openxmlformats.org/officeDocument/2006/relationships/hyperlink" Target="https://login.consultant.ru/link/?req=doc&amp;base=RLAW256&amp;n=160045&amp;dst=100024" TargetMode="External"/><Relationship Id="rId31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0045&amp;dst=100007" TargetMode="External"/><Relationship Id="rId14" Type="http://schemas.openxmlformats.org/officeDocument/2006/relationships/hyperlink" Target="https://login.consultant.ru/link/?req=doc&amp;base=RLAW256&amp;n=160045&amp;dst=100016" TargetMode="External"/><Relationship Id="rId22" Type="http://schemas.openxmlformats.org/officeDocument/2006/relationships/hyperlink" Target="https://login.consultant.ru/link/?req=doc&amp;base=RLAW256&amp;n=160045&amp;dst=100026" TargetMode="External"/><Relationship Id="rId27" Type="http://schemas.openxmlformats.org/officeDocument/2006/relationships/hyperlink" Target="https://login.consultant.ru/link/?req=doc&amp;base=RLAW256&amp;n=160045&amp;dst=100051" TargetMode="External"/><Relationship Id="rId30" Type="http://schemas.openxmlformats.org/officeDocument/2006/relationships/hyperlink" Target="https://login.consultant.ru/link/?req=doc&amp;base=RLAW256&amp;n=160045&amp;dst=100054" TargetMode="External"/><Relationship Id="rId35" Type="http://schemas.openxmlformats.org/officeDocument/2006/relationships/hyperlink" Target="https://login.consultant.ru/link/?req=doc&amp;base=RLAW256&amp;n=160045&amp;dst=100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1478</Words>
  <Characters>8426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2024-04-26T11:39:00Z</dcterms:created>
  <dcterms:modified xsi:type="dcterms:W3CDTF">2024-04-26T11:39:00Z</dcterms:modified>
</cp:coreProperties>
</file>