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E7" w:rsidRDefault="00BE0B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0BE7" w:rsidRDefault="00BE0B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E0B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BE7" w:rsidRDefault="00BE0BE7">
            <w:pPr>
              <w:pStyle w:val="ConsPlusNormal"/>
            </w:pPr>
            <w:r>
              <w:t>30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BE7" w:rsidRDefault="00BE0BE7">
            <w:pPr>
              <w:pStyle w:val="ConsPlusNormal"/>
              <w:jc w:val="right"/>
            </w:pPr>
            <w:r>
              <w:t>N 117-ГД</w:t>
            </w:r>
          </w:p>
        </w:tc>
      </w:tr>
    </w:tbl>
    <w:p w:rsidR="00BE0BE7" w:rsidRDefault="00BE0B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Title"/>
        <w:jc w:val="center"/>
      </w:pPr>
      <w:r>
        <w:t>ЗАКОН</w:t>
      </w:r>
    </w:p>
    <w:p w:rsidR="00BE0BE7" w:rsidRDefault="00BE0BE7">
      <w:pPr>
        <w:pStyle w:val="ConsPlusTitle"/>
        <w:jc w:val="center"/>
      </w:pPr>
      <w:r>
        <w:t>САМАРСКОЙ ОБЛАСТИ</w:t>
      </w:r>
    </w:p>
    <w:p w:rsidR="00BE0BE7" w:rsidRDefault="00BE0BE7">
      <w:pPr>
        <w:pStyle w:val="ConsPlusTitle"/>
        <w:jc w:val="center"/>
      </w:pPr>
    </w:p>
    <w:p w:rsidR="00BE0BE7" w:rsidRDefault="00BE0BE7">
      <w:pPr>
        <w:pStyle w:val="ConsPlusTitle"/>
        <w:jc w:val="center"/>
      </w:pPr>
      <w:r>
        <w:t>О ВНЕСЕНИИ ИЗМЕНЕНИЙ В ЗАКОН САМАРСКОЙ ОБЛАСТИ</w:t>
      </w:r>
    </w:p>
    <w:p w:rsidR="00BE0BE7" w:rsidRDefault="00BE0BE7">
      <w:pPr>
        <w:pStyle w:val="ConsPlusTitle"/>
        <w:jc w:val="center"/>
      </w:pPr>
      <w:r>
        <w:t>"О БЮДЖЕТНОМ УСТРОЙСТВЕ И БЮДЖЕТНОМ ПРОЦЕССЕ</w:t>
      </w:r>
    </w:p>
    <w:p w:rsidR="00BE0BE7" w:rsidRDefault="00BE0BE7">
      <w:pPr>
        <w:pStyle w:val="ConsPlusTitle"/>
        <w:jc w:val="center"/>
      </w:pPr>
      <w:r>
        <w:t>В САМАРСКОЙ ОБЛАСТИ"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jc w:val="right"/>
      </w:pPr>
      <w:proofErr w:type="gramStart"/>
      <w:r>
        <w:t>Принят</w:t>
      </w:r>
      <w:proofErr w:type="gramEnd"/>
    </w:p>
    <w:p w:rsidR="00BE0BE7" w:rsidRDefault="00BE0BE7">
      <w:pPr>
        <w:pStyle w:val="ConsPlusNormal"/>
        <w:jc w:val="right"/>
      </w:pPr>
      <w:r>
        <w:t>Самарской Губернской Думой</w:t>
      </w:r>
    </w:p>
    <w:p w:rsidR="00BE0BE7" w:rsidRDefault="00BE0BE7">
      <w:pPr>
        <w:pStyle w:val="ConsPlusNormal"/>
        <w:jc w:val="right"/>
      </w:pPr>
      <w:r>
        <w:t>23 декабря 2021 года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Title"/>
        <w:ind w:firstLine="540"/>
        <w:jc w:val="both"/>
        <w:outlineLvl w:val="0"/>
      </w:pPr>
      <w:r>
        <w:t>Статья 1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Самарской области от 28 декабря 2005 года N 235-ГД "О бюджетном устройстве и бюджетном процессе в Самарской области" (газета "Волжская коммуна", 2005, 29 декабря; 2006, 30 апреля, 19 июля; 2007, 9 августа; 2010, 17 июня, 2 октября; 2012, 9 ноября; 2013, 5 ноября; официальный сайт Правительства Самарской области (www.pravo.samregion.ru), 2014, 23 декабря;</w:t>
      </w:r>
      <w:proofErr w:type="gramEnd"/>
      <w:r>
        <w:t xml:space="preserve"> газета "Волжская коммуна", 2015, 30 июня, 8 декабря; </w:t>
      </w:r>
      <w:proofErr w:type="gramStart"/>
      <w:r>
        <w:t>официальный</w:t>
      </w:r>
      <w:proofErr w:type="gramEnd"/>
      <w:r>
        <w:t xml:space="preserve"> сайт Правительства Самарской области (www.pravo.samregion.ru), 2019, 1 ноября) следующие изменения:</w:t>
      </w:r>
    </w:p>
    <w:p w:rsidR="00BE0BE7" w:rsidRDefault="00BE0B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E0B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BE7" w:rsidRDefault="00BE0BE7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7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</w:tr>
    </w:tbl>
    <w:p w:rsidR="00BE0BE7" w:rsidRDefault="00BE0BE7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1) </w:t>
      </w:r>
      <w:hyperlink r:id="rId6" w:history="1">
        <w:r>
          <w:rPr>
            <w:color w:val="0000FF"/>
          </w:rPr>
          <w:t>статью 1.2</w:t>
        </w:r>
      </w:hyperlink>
      <w:r>
        <w:t xml:space="preserve"> дополнить частями 1.1 и 1.2 следующего содержания: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>"1.1. Расчетный дополнительный норматив отчислений от налога на доходы физических лиц в бюджет муниципального района (городского округа, городского округа с внутригородским делением, поселения, внутригородского района) не может превышать норматив зачисления налога на доходы физических лиц в бюджет Самарской области.</w:t>
      </w:r>
    </w:p>
    <w:p w:rsidR="00BE0BE7" w:rsidRDefault="00BE0BE7">
      <w:pPr>
        <w:pStyle w:val="ConsPlusNormal"/>
        <w:spacing w:before="220"/>
        <w:ind w:firstLine="540"/>
        <w:jc w:val="both"/>
      </w:pPr>
      <w:proofErr w:type="gramStart"/>
      <w:r>
        <w:t>В случае если расчетный дополнительный норматив отчислений от налога на доходы физических лиц в бюджет муниципального района (городского округа с внутригородским делением) и расчетный дополнительный норматив отчислений от налога на доходы физических лиц в бюджет как минимум одного поселения (внутригородского района), входящего в его состав, в сумме превышают норматив зачисления налога на доходы физических лиц в бюджет Самарской области, то</w:t>
      </w:r>
      <w:proofErr w:type="gramEnd"/>
      <w:r>
        <w:t xml:space="preserve"> </w:t>
      </w:r>
      <w:proofErr w:type="gramStart"/>
      <w:r>
        <w:t>расчетный дополнительный норматив отчислений от налога на доходы физических лиц в бюджет муниципального района (городского округа с внутригородским делением) определяется как разница между нормативом зачисления налога на доходы физических лиц в бюджет Самарской области и расчетным дополнительным нормативом отчислений от налога на доходы физических лиц в бюджет поселения (внутригородского района), входящего в состав соответствующего муниципального района (городского округа с внутригородским</w:t>
      </w:r>
      <w:proofErr w:type="gramEnd"/>
      <w:r>
        <w:t xml:space="preserve"> делением), имеющего максимальное значение соответствующего норматива.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случае изменения расчетного объема дотаций на выравнивание бюджетной обеспеченности в разрезе муниципальных районов (городских округов, городских округов с внутригородским делением, поселений, внутригородских районов) и (или) прогноза объема налоговых поступлений по налогу на доходы физических лиц, подлежащему зачислению в консолидированный бюджет Самарской области по территории муниципального района </w:t>
      </w:r>
      <w:r>
        <w:lastRenderedPageBreak/>
        <w:t>(городского округа, городского округа с внутригородским делением, поселения, внутригородского района), после внесения проекта</w:t>
      </w:r>
      <w:proofErr w:type="gramEnd"/>
      <w:r>
        <w:t xml:space="preserve"> </w:t>
      </w:r>
      <w:proofErr w:type="gramStart"/>
      <w:r>
        <w:t>областного бюджета на очередной финансовый год и плановый период Правительством Самарской области на рассмотрение Самарской Губернской Думы министерство корректирует расчетный дополнительный норматив отчислений от налога на доходы физических лиц и в течение трех рабочих дней после корректировки направляет уточненную информацию, установленную частью 1 настоящей статьи, в адрес глав муниципальных районов (городских округов, городских округов с внутригородским делением) Самарской области, в</w:t>
      </w:r>
      <w:proofErr w:type="gramEnd"/>
      <w:r>
        <w:t xml:space="preserve"> том числе для последующего направления ими указанной информации в адрес глав поселений (внутригородских районов)</w:t>
      </w:r>
      <w:proofErr w:type="gramStart"/>
      <w:r>
        <w:t>."</w:t>
      </w:r>
      <w:proofErr w:type="gramEnd"/>
      <w:r>
        <w:t>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8" w:history="1">
        <w:r>
          <w:rPr>
            <w:color w:val="0000FF"/>
          </w:rPr>
          <w:t>четвертый части 2 статьи 4</w:t>
        </w:r>
      </w:hyperlink>
      <w:r>
        <w:t xml:space="preserve"> после слов "в отчетности" дополнить словами "и официальной информации";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ind w:firstLine="540"/>
        <w:jc w:val="both"/>
      </w:pPr>
      <w:r>
        <w:t>"Статья 7.1. Порядок сокращения объема дотаций на выравнивание бюджетной обеспеченности муниципальных районов (городских округов, городских округов с внутригородским делением)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ind w:firstLine="540"/>
        <w:jc w:val="both"/>
      </w:pPr>
      <w:proofErr w:type="gramStart"/>
      <w:r>
        <w:t>Объем дотации на выравнивание бюджетной обеспеченности муниципального района (городского округа, городского округа с внутригородским делением) сокращается путем внесения изменений в закон об областном бюджете на текущий финансовый год и плановый период на основании приказа министерства о применении мер ответственности в отношении муниципального района (городского округа, городского округа с внутригородским делением), принятого в случае несоблюдения порядка и сроков заключения соглашения о</w:t>
      </w:r>
      <w:proofErr w:type="gramEnd"/>
      <w:r>
        <w:t xml:space="preserve"> </w:t>
      </w:r>
      <w:proofErr w:type="gramStart"/>
      <w:r>
        <w:t>мерах по социально-экономическому развитию и оздоровлению муниципальных финансов (далее - соглашение) на соответствующий финансовый год со стороны администрации муниципального района (городского округа, городского округа с внутригородским делением) Самарской области, а также в случае невыполнения органом местного самоуправления муниципального района (городского округа, городского округа с внутригородским делением) Самарской области в отчетном финансовом году обязательств, предусмотренных соглашением.";</w:t>
      </w:r>
      <w:proofErr w:type="gramEnd"/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статье 10</w:t>
        </w:r>
      </w:hyperlink>
      <w:r>
        <w:t>: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4</w:t>
        </w:r>
      </w:hyperlink>
      <w:r>
        <w:t xml:space="preserve"> дополнить абзацем следующего содержания:</w:t>
      </w:r>
    </w:p>
    <w:p w:rsidR="00BE0BE7" w:rsidRDefault="00BE0BE7">
      <w:pPr>
        <w:pStyle w:val="ConsPlusNormal"/>
        <w:spacing w:before="220"/>
        <w:ind w:firstLine="540"/>
        <w:jc w:val="both"/>
      </w:pPr>
      <w:proofErr w:type="gramStart"/>
      <w:r>
        <w:t>"При определении размера дотации бюджетам поселений в соответствии с абзацем первым настоящей части учитываются решения о замене дотации на выравнивание бюджетной обеспеченности поселений (внутригородских районов), предоставляемой из бюджетов муниципальных районов (городских округов с внутригородским делением) за счет субвенций, предоставляемых на осуществление полномочий по расчету и предоставлению дотаций, дополнительными нормативами отчислений в бюджеты поселений (внутригородских районов) от налога на доходы физических</w:t>
      </w:r>
      <w:proofErr w:type="gramEnd"/>
      <w:r>
        <w:t xml:space="preserve"> лиц</w:t>
      </w:r>
      <w:proofErr w:type="gramStart"/>
      <w:r>
        <w:t>.";</w:t>
      </w:r>
      <w:proofErr w:type="gramEnd"/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"10. </w:t>
      </w:r>
      <w:proofErr w:type="gramStart"/>
      <w:r>
        <w:t>В случае замены дотации на выравнивание бюджетной обеспеченности поселений (внутригородских районов), предоставляемой из бюджетов муниципальных районов (городских округов с внутригородским делением) за счет субвенций, предоставляемых на осуществление полномочий по расчету и предоставлению дотаций, дополнительными нормативами отчислений в бюджеты поселений (внутригородских районов) от налога на доходы физических лиц размер субвенции сокращается на сумму дотации, замененной дополнительным нормативом отчислений от налога на</w:t>
      </w:r>
      <w:proofErr w:type="gramEnd"/>
      <w:r>
        <w:t xml:space="preserve"> доходы физических лиц</w:t>
      </w:r>
      <w:proofErr w:type="gramStart"/>
      <w:r>
        <w:t>.";</w:t>
      </w:r>
      <w:proofErr w:type="gramEnd"/>
    </w:p>
    <w:p w:rsidR="00BE0BE7" w:rsidRDefault="00BE0B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E0B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BE7" w:rsidRDefault="00BE0BE7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7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</w:tr>
    </w:tbl>
    <w:p w:rsidR="00BE0BE7" w:rsidRDefault="00BE0BE7">
      <w:pPr>
        <w:pStyle w:val="ConsPlusNormal"/>
        <w:spacing w:before="280"/>
        <w:ind w:firstLine="540"/>
        <w:jc w:val="both"/>
      </w:pPr>
      <w:bookmarkStart w:id="1" w:name="P35"/>
      <w:bookmarkEnd w:id="1"/>
      <w:r>
        <w:t xml:space="preserve">5) </w:t>
      </w:r>
      <w:hyperlink r:id="rId13" w:history="1">
        <w:r>
          <w:rPr>
            <w:color w:val="0000FF"/>
          </w:rPr>
          <w:t>статью 10.2</w:t>
        </w:r>
      </w:hyperlink>
      <w:r>
        <w:t xml:space="preserve"> дополнить новым абзацем шестым следующего содержания: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>"в случае использования средств резервного фонда Губернатора Самарской области, а также использования иным образом зарезервированных в областном бюджете бюджетных ассигнований</w:t>
      </w:r>
      <w:proofErr w:type="gramStart"/>
      <w:r>
        <w:t>;"</w:t>
      </w:r>
      <w:proofErr w:type="gramEnd"/>
      <w:r>
        <w:t>;</w:t>
      </w:r>
    </w:p>
    <w:p w:rsidR="00BE0BE7" w:rsidRDefault="00BE0BE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шестой</w:t>
        </w:r>
      </w:hyperlink>
      <w:r>
        <w:t xml:space="preserve"> считать абзацем седьмым;</w:t>
      </w:r>
    </w:p>
    <w:p w:rsidR="00BE0BE7" w:rsidRDefault="00BE0B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E0B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BE7" w:rsidRDefault="00BE0BE7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7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</w:tr>
    </w:tbl>
    <w:p w:rsidR="00BE0BE7" w:rsidRDefault="00BE0BE7">
      <w:pPr>
        <w:pStyle w:val="ConsPlusNormal"/>
        <w:spacing w:before="280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части 4 статьи 19</w:t>
        </w:r>
      </w:hyperlink>
      <w:r>
        <w:t>: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абзаце первом</w:t>
        </w:r>
      </w:hyperlink>
      <w:r>
        <w:t xml:space="preserve"> слова "субсидий между муниципальными образованиями" заменить словами "субсидий муниципальным образованиям";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>"нарушение предусмотренного действующим законодательством срока заключения соглашения о предоставлении субсидии из областного бюджета местному бюджету</w:t>
      </w:r>
      <w:proofErr w:type="gramStart"/>
      <w:r>
        <w:t>;"</w:t>
      </w:r>
      <w:proofErr w:type="gramEnd"/>
      <w:r>
        <w:t>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>"образование экономии бюджетных средств по итогам проведения муниципальных торгов (конкурентных процедур)</w:t>
      </w:r>
      <w:proofErr w:type="gramStart"/>
      <w:r>
        <w:t>;"</w:t>
      </w:r>
      <w:proofErr w:type="gramEnd"/>
      <w:r>
        <w:t>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г) в </w:t>
      </w:r>
      <w:hyperlink r:id="rId19" w:history="1">
        <w:r>
          <w:rPr>
            <w:color w:val="0000FF"/>
          </w:rPr>
          <w:t>абзаце седьмом</w:t>
        </w:r>
      </w:hyperlink>
      <w:r>
        <w:t xml:space="preserve"> слова "по соответствующему направлению субсидии" заменить словами "в субсидии";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д)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новым абзацем двенадцатым следующего содержания: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>"принятие решения Правительством Самарской области об увеличении бюджетных ассигнований на предоставление межбюджетных трансфертов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</w:r>
      <w:proofErr w:type="gramStart"/>
      <w:r>
        <w:t>;"</w:t>
      </w:r>
      <w:proofErr w:type="gramEnd"/>
      <w:r>
        <w:t>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е) </w:t>
      </w:r>
      <w:hyperlink r:id="rId21" w:history="1">
        <w:r>
          <w:rPr>
            <w:color w:val="0000FF"/>
          </w:rPr>
          <w:t>абзац двенадцатый</w:t>
        </w:r>
      </w:hyperlink>
      <w:r>
        <w:t xml:space="preserve"> </w:t>
      </w:r>
      <w:proofErr w:type="gramStart"/>
      <w:r>
        <w:t>считать абзацем тринадцатым и изложить</w:t>
      </w:r>
      <w:proofErr w:type="gramEnd"/>
      <w:r>
        <w:t xml:space="preserve"> его в следующей редакции:</w:t>
      </w:r>
    </w:p>
    <w:p w:rsidR="00BE0BE7" w:rsidRDefault="00BE0BE7">
      <w:pPr>
        <w:pStyle w:val="ConsPlusNormal"/>
        <w:spacing w:before="220"/>
        <w:ind w:firstLine="540"/>
        <w:jc w:val="both"/>
      </w:pPr>
      <w:proofErr w:type="gramStart"/>
      <w:r>
        <w:t>"получение уведомления от федеральных органов исполнительной власти о предоставлении субсидий, субвенций, иных межбюджетных трансфертов, имеющих целевое назначение, предоставление из федерального бюджета бюджетного кредита на финансовое обеспечение реализации инфраструктурных проектов и получение имеющих целевое назначение безвозмездных поступлений от физических и юридических лиц сверх объемов, утвержденных законом об областном бюджете на текущий финансовый год и на плановый период, а также сокращение (возврат</w:t>
      </w:r>
      <w:proofErr w:type="gramEnd"/>
      <w:r>
        <w:t xml:space="preserve"> при отсутствии потребности) указанных межбюджетных трансфертов</w:t>
      </w:r>
      <w:proofErr w:type="gramStart"/>
      <w:r>
        <w:t>;"</w:t>
      </w:r>
      <w:proofErr w:type="gramEnd"/>
      <w:r>
        <w:t>;</w:t>
      </w:r>
    </w:p>
    <w:p w:rsidR="00BE0BE7" w:rsidRDefault="00BE0BE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тринадцатый</w:t>
        </w:r>
      </w:hyperlink>
      <w:r>
        <w:t xml:space="preserve"> считать абзацем четырнадцатым;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ж)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абзацем пятнадцатым следующего содержания: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"внесение изменений в сводную бюджетную роспись по основаниям, установленным действующим законодательством, в соответствии с которыми осуществляется увеличение либо сокращение бюджетных ассигнований на финансирование соответствующих направлений </w:t>
      </w:r>
      <w:r>
        <w:lastRenderedPageBreak/>
        <w:t>субсидий, предусмотренных законом об областном бюджете</w:t>
      </w:r>
      <w:proofErr w:type="gramStart"/>
      <w:r>
        <w:t>;"</w:t>
      </w:r>
      <w:proofErr w:type="gramEnd"/>
      <w:r>
        <w:t>;</w:t>
      </w:r>
    </w:p>
    <w:p w:rsidR="00BE0BE7" w:rsidRDefault="00BE0BE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четырнадцатый</w:t>
        </w:r>
      </w:hyperlink>
      <w:r>
        <w:t xml:space="preserve"> считать абзацем шестнадцатым;</w:t>
      </w:r>
    </w:p>
    <w:p w:rsidR="00BE0BE7" w:rsidRDefault="00BE0B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E0B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BE7" w:rsidRDefault="00BE0BE7">
            <w:pPr>
              <w:pStyle w:val="ConsPlusNormal"/>
              <w:jc w:val="both"/>
            </w:pPr>
            <w:r>
              <w:rPr>
                <w:color w:val="392C69"/>
              </w:rPr>
              <w:t xml:space="preserve">П. 7 </w:t>
            </w:r>
            <w:hyperlink w:anchor="P7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</w:tr>
    </w:tbl>
    <w:p w:rsidR="00BE0BE7" w:rsidRDefault="00BE0BE7">
      <w:pPr>
        <w:pStyle w:val="ConsPlusNormal"/>
        <w:spacing w:before="280"/>
        <w:ind w:firstLine="540"/>
        <w:jc w:val="both"/>
      </w:pPr>
      <w:bookmarkStart w:id="2" w:name="P55"/>
      <w:bookmarkEnd w:id="2"/>
      <w:r>
        <w:t xml:space="preserve">7) </w:t>
      </w:r>
      <w:hyperlink r:id="rId25" w:history="1">
        <w:r>
          <w:rPr>
            <w:color w:val="0000FF"/>
          </w:rPr>
          <w:t>статью 19.5</w:t>
        </w:r>
      </w:hyperlink>
      <w:r>
        <w:t xml:space="preserve"> изложить в следующей редакции: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ind w:firstLine="540"/>
        <w:jc w:val="both"/>
      </w:pPr>
      <w:r>
        <w:t>"Статья 19.5. Иные межбюджетные трансферты, предоставляемые из областного бюджета местным бюджетам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ind w:firstLine="540"/>
        <w:jc w:val="both"/>
      </w:pPr>
      <w:r>
        <w:t xml:space="preserve">Иные межбюджетные трансферты из областного бюджета предоставляются местным бюджетам в случаях, предусмотренных </w:t>
      </w:r>
      <w:hyperlink r:id="rId26" w:history="1">
        <w:r>
          <w:rPr>
            <w:color w:val="0000FF"/>
          </w:rPr>
          <w:t>статьей 139.1</w:t>
        </w:r>
      </w:hyperlink>
      <w:r>
        <w:t xml:space="preserve"> Бюджетного кодекса Российской Федерации, а также: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>а) в случаях софинансирования, в том числе в полном объеме, расходных обязательств, возникающих при реализации прав органов местного самоуправления, не отнесенных к вопросам местного значения;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>б) в случаях софинансирования, в том числе в полном объеме, расходных обязательств муниципальных образований за счет средств резервного фонда Губернатора Самарской области, а также за счет иным образом зарезервированных в областном бюджете бюджетных ассигнований;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>в) в случаях софинансирования, в том числе в полном объеме, расходных обязательств, возникающих у органов местного самоуправления в связи с исполнением переданных им государственных полномочий</w:t>
      </w:r>
      <w:proofErr w:type="gramStart"/>
      <w:r>
        <w:t>.";</w:t>
      </w:r>
      <w:proofErr w:type="gramEnd"/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8) в </w:t>
      </w:r>
      <w:hyperlink r:id="rId27" w:history="1">
        <w:r>
          <w:rPr>
            <w:color w:val="0000FF"/>
          </w:rPr>
          <w:t>части 1 статьи 19.6</w:t>
        </w:r>
      </w:hyperlink>
      <w:r>
        <w:t xml:space="preserve"> слова "и законом Самарской области о бюджете территориального фонда обязательного медицинского страхования Самарской области" исключить;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9) в </w:t>
      </w:r>
      <w:hyperlink r:id="rId28" w:history="1">
        <w:r>
          <w:rPr>
            <w:color w:val="0000FF"/>
          </w:rPr>
          <w:t>статье 30</w:t>
        </w:r>
      </w:hyperlink>
      <w:r>
        <w:t xml:space="preserve"> слова "муниципальные районы, внутригородские районы" заменить словами "муниципальные районы и городские округа, а также городские округа с внутригородским делением";</w:t>
      </w:r>
    </w:p>
    <w:p w:rsidR="00BE0BE7" w:rsidRDefault="00BE0B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E0B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BE7" w:rsidRDefault="00BE0BE7">
            <w:pPr>
              <w:pStyle w:val="ConsPlusNormal"/>
              <w:jc w:val="both"/>
            </w:pPr>
            <w:r>
              <w:rPr>
                <w:color w:val="392C69"/>
              </w:rPr>
              <w:t xml:space="preserve">П. 10 </w:t>
            </w:r>
            <w:hyperlink w:anchor="P7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E7" w:rsidRDefault="00BE0BE7">
            <w:pPr>
              <w:spacing w:after="1" w:line="0" w:lineRule="atLeast"/>
            </w:pPr>
          </w:p>
        </w:tc>
      </w:tr>
    </w:tbl>
    <w:p w:rsidR="00BE0BE7" w:rsidRDefault="00BE0BE7">
      <w:pPr>
        <w:pStyle w:val="ConsPlusNormal"/>
        <w:spacing w:before="280"/>
        <w:ind w:firstLine="540"/>
        <w:jc w:val="both"/>
      </w:pPr>
      <w:bookmarkStart w:id="3" w:name="P66"/>
      <w:bookmarkEnd w:id="3"/>
      <w:r>
        <w:t xml:space="preserve">10)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статьей 34.5 следующего содержания: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ind w:firstLine="540"/>
        <w:jc w:val="both"/>
      </w:pPr>
      <w:r>
        <w:t>"Статья 34.5. Использование остатков средств областного бюджета, образовавшихся в связи с неполным использованием бюджетных ассигнований в ходе исполнения областного бюджета в отчетном финансовом году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ind w:firstLine="540"/>
        <w:jc w:val="both"/>
      </w:pPr>
      <w:proofErr w:type="gramStart"/>
      <w:r>
        <w:t xml:space="preserve">Остатки средств областного бюджета на начало текущего финансового года в объеме, не превышающем разницу между остатками, образовавшимися в связи с неполным использованием бюджетных ассигнований в ходе исполнения областного бюджета в отчетном финансовом году, и суммой увеличения бюджетных ассигнований, предусмотренных </w:t>
      </w:r>
      <w:hyperlink r:id="rId30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31" w:history="1">
        <w:r>
          <w:rPr>
            <w:color w:val="0000FF"/>
          </w:rPr>
          <w:t>третьим пункта 3 статьи 95</w:t>
        </w:r>
      </w:hyperlink>
      <w:r>
        <w:t xml:space="preserve"> Бюджетного кодекса Российской Федерации, используются путем внесения изменений в закон Самарской области об</w:t>
      </w:r>
      <w:proofErr w:type="gramEnd"/>
      <w:r>
        <w:t xml:space="preserve"> областном </w:t>
      </w:r>
      <w:proofErr w:type="gramStart"/>
      <w:r>
        <w:t>бюджете</w:t>
      </w:r>
      <w:proofErr w:type="gramEnd"/>
      <w:r>
        <w:t xml:space="preserve"> на текущий финансовый год и на плановый период.";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 xml:space="preserve">11) </w:t>
      </w:r>
      <w:hyperlink r:id="rId32" w:history="1">
        <w:r>
          <w:rPr>
            <w:color w:val="0000FF"/>
          </w:rPr>
          <w:t>статью 62</w:t>
        </w:r>
      </w:hyperlink>
      <w:r>
        <w:t xml:space="preserve"> изложить в следующей редакции: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ind w:firstLine="540"/>
        <w:jc w:val="both"/>
      </w:pPr>
      <w:r>
        <w:t>"Статья 62. Порядок исполнения областного бюджета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ind w:firstLine="540"/>
        <w:jc w:val="both"/>
      </w:pPr>
      <w:r>
        <w:t>Организация исполнения областного бюджета возлагается на финансовый орган Самарской области.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>Порядок исполнения областного бюджета по расходам и источникам финансирования дефицита бюджета утверждается финансовым органом Самарской области в соответствии с требованиями бюджетного законодательства.</w:t>
      </w:r>
    </w:p>
    <w:p w:rsidR="00BE0BE7" w:rsidRDefault="00BE0BE7">
      <w:pPr>
        <w:pStyle w:val="ConsPlusNormal"/>
        <w:spacing w:before="220"/>
        <w:ind w:firstLine="540"/>
        <w:jc w:val="both"/>
      </w:pPr>
      <w:r>
        <w:t>Открытие и ведение лицевых счетов участников системы казначейских платежей в финансовом органе Самарской области осуществляется в порядке, установленном финансовым органом Самарской области</w:t>
      </w:r>
      <w:proofErr w:type="gramStart"/>
      <w:r>
        <w:t>.".</w:t>
      </w:r>
      <w:proofErr w:type="gramEnd"/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Title"/>
        <w:ind w:firstLine="540"/>
        <w:jc w:val="both"/>
        <w:outlineLvl w:val="0"/>
      </w:pPr>
      <w:bookmarkStart w:id="4" w:name="P79"/>
      <w:bookmarkEnd w:id="4"/>
      <w:r>
        <w:t>Статья 2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ind w:firstLine="540"/>
        <w:jc w:val="both"/>
      </w:pPr>
      <w:proofErr w:type="gramStart"/>
      <w:r>
        <w:t xml:space="preserve">Настоящий Закон вступает в силу со дня его официального опубликования и применяется к правоотношениям, возникающим при составлении и исполнении областного бюджета, начиная с бюджета на 2022 год и на плановый период 2023 и 2024 годов, за исключением </w:t>
      </w:r>
      <w:hyperlink w:anchor="P19" w:history="1">
        <w:r>
          <w:rPr>
            <w:color w:val="0000FF"/>
          </w:rPr>
          <w:t>пунктов 1</w:t>
        </w:r>
      </w:hyperlink>
      <w:r>
        <w:t xml:space="preserve">, </w:t>
      </w:r>
      <w:hyperlink w:anchor="P35" w:history="1">
        <w:r>
          <w:rPr>
            <w:color w:val="0000FF"/>
          </w:rPr>
          <w:t>5</w:t>
        </w:r>
      </w:hyperlink>
      <w:r>
        <w:t xml:space="preserve"> - </w:t>
      </w:r>
      <w:hyperlink w:anchor="P55" w:history="1">
        <w:r>
          <w:rPr>
            <w:color w:val="0000FF"/>
          </w:rPr>
          <w:t>7</w:t>
        </w:r>
      </w:hyperlink>
      <w:r>
        <w:t xml:space="preserve"> и </w:t>
      </w:r>
      <w:hyperlink w:anchor="P66" w:history="1">
        <w:r>
          <w:rPr>
            <w:color w:val="0000FF"/>
          </w:rPr>
          <w:t>10 статьи 1</w:t>
        </w:r>
      </w:hyperlink>
      <w:r>
        <w:t xml:space="preserve"> настоящего Закона, которые вступают в силу с 1 января 2022 года.</w:t>
      </w:r>
      <w:proofErr w:type="gramEnd"/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jc w:val="right"/>
      </w:pPr>
      <w:r>
        <w:t>Губернатор Самарской области</w:t>
      </w:r>
    </w:p>
    <w:p w:rsidR="00BE0BE7" w:rsidRDefault="00BE0BE7">
      <w:pPr>
        <w:pStyle w:val="ConsPlusNormal"/>
        <w:jc w:val="right"/>
      </w:pPr>
      <w:r>
        <w:t>Д.И.АЗАРОВ</w:t>
      </w:r>
    </w:p>
    <w:p w:rsidR="00BE0BE7" w:rsidRDefault="00BE0BE7">
      <w:pPr>
        <w:pStyle w:val="ConsPlusNormal"/>
      </w:pPr>
      <w:r>
        <w:t>30 декабря 2021 года</w:t>
      </w:r>
    </w:p>
    <w:p w:rsidR="00BE0BE7" w:rsidRDefault="00BE0BE7">
      <w:pPr>
        <w:pStyle w:val="ConsPlusNormal"/>
        <w:spacing w:before="220"/>
      </w:pPr>
      <w:r>
        <w:t>N 117-ГД</w:t>
      </w: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jc w:val="both"/>
      </w:pPr>
    </w:p>
    <w:p w:rsidR="00BE0BE7" w:rsidRDefault="00BE0B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C3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E0BE7"/>
    <w:rsid w:val="000C45BE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E0BE7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7622935B2DD92146D385AAE1252BDAD2B8E0295945AA3F97D39DB78CA6A10721CD0A5067B9D39F79A60489971975422DAE8833E216CC098nEZ4M" TargetMode="External"/><Relationship Id="rId13" Type="http://schemas.openxmlformats.org/officeDocument/2006/relationships/hyperlink" Target="consultantplus://offline/ref=F1E7622935B2DD92146D385AAE1252BDAD2B8E02959258A0F07B39DB78CA6A10721CD0A5067B9D39F19460489971975422DAE8833E216CC098nEZ4M" TargetMode="External"/><Relationship Id="rId18" Type="http://schemas.openxmlformats.org/officeDocument/2006/relationships/hyperlink" Target="consultantplus://offline/ref=F1E7622935B2DD92146D385AAE1252BDAD2B8E02959258A0F07B39DB78CA6A10721CD0A5067B9D39F39860489971975422DAE8833E216CC098nEZ4M" TargetMode="External"/><Relationship Id="rId26" Type="http://schemas.openxmlformats.org/officeDocument/2006/relationships/hyperlink" Target="consultantplus://offline/ref=F1E7622935B2DD92146D2657B87E0EB5A827D70F969152F4A5283F8C279A6C45325CD6F3443C9936A1CC2F49C534C14723DDE8813A3Dn6Z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E7622935B2DD92146D385AAE1252BDAD2B8E02959258A0F07B39DB78CA6A10721CD0A5067B9D39F29C60489971975422DAE8833E216CC098nEZ4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1E7622935B2DD92146D385AAE1252BDAD2B8E0295945AA3F97D39DB78CA6A10721CD0A5067B9D3EF49860489971975422DAE8833E216CC098nEZ4M" TargetMode="External"/><Relationship Id="rId12" Type="http://schemas.openxmlformats.org/officeDocument/2006/relationships/hyperlink" Target="consultantplus://offline/ref=F1E7622935B2DD92146D385AAE1252BDAD2B8E0295945AA3F97D39DB78CA6A10721CD0A5067B9D39F19C60489971975422DAE8833E216CC098nEZ4M" TargetMode="External"/><Relationship Id="rId17" Type="http://schemas.openxmlformats.org/officeDocument/2006/relationships/hyperlink" Target="consultantplus://offline/ref=F1E7622935B2DD92146D385AAE1252BDAD2B8E02959258A0F07B39DB78CA6A10721CD0A5067B9D39F39F60489971975422DAE8833E216CC098nEZ4M" TargetMode="External"/><Relationship Id="rId25" Type="http://schemas.openxmlformats.org/officeDocument/2006/relationships/hyperlink" Target="consultantplus://offline/ref=F1E7622935B2DD92146D385AAE1252BDAD2B8E02959258A0F07B39DB78CA6A10721CD0A5067B9D3CF59D6D1DC83E9608678CFB8239216EC484E4D9A2n6ZB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E7622935B2DD92146D385AAE1252BDAD2B8E02959258A0F07B39DB78CA6A10721CD0A5067B9D39F39D60489971975422DAE8833E216CC098nEZ4M" TargetMode="External"/><Relationship Id="rId20" Type="http://schemas.openxmlformats.org/officeDocument/2006/relationships/hyperlink" Target="consultantplus://offline/ref=F1E7622935B2DD92146D385AAE1252BDAD2B8E02959258A0F07B39DB78CA6A10721CD0A5067B9D39F39D60489971975422DAE8833E216CC098nEZ4M" TargetMode="External"/><Relationship Id="rId29" Type="http://schemas.openxmlformats.org/officeDocument/2006/relationships/hyperlink" Target="consultantplus://offline/ref=F1E7622935B2DD92146D385AAE1252BDAD2B8E02959258A0F07B39DB78CA6A10721CD0A5147BC530F49E751CCC2BC05921nDZ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7622935B2DD92146D385AAE1252BDAD2B8E02959258A0F07B39DB78CA6A10721CD0A5067B9D39F49E60489971975422DAE8833E216CC098nEZ4M" TargetMode="External"/><Relationship Id="rId11" Type="http://schemas.openxmlformats.org/officeDocument/2006/relationships/hyperlink" Target="consultantplus://offline/ref=F1E7622935B2DD92146D385AAE1252BDAD2B8E0295945AA3F97D39DB78CA6A10721CD0A5067B9D3EF09460489971975422DAE8833E216CC098nEZ4M" TargetMode="External"/><Relationship Id="rId24" Type="http://schemas.openxmlformats.org/officeDocument/2006/relationships/hyperlink" Target="consultantplus://offline/ref=F1E7622935B2DD92146D385AAE1252BDAD2B8E02959258A0F07B39DB78CA6A10721CD0A5067B9D39F29E60489971975422DAE8833E216CC098nEZ4M" TargetMode="External"/><Relationship Id="rId32" Type="http://schemas.openxmlformats.org/officeDocument/2006/relationships/hyperlink" Target="consultantplus://offline/ref=F1E7622935B2DD92146D385AAE1252BDAD2B8E0295945AA3F97D39DB78CA6A10721CD0A5067B9D3CF59D681ECC3E9608678CFB8239216EC484E4D9A2n6ZBM" TargetMode="External"/><Relationship Id="rId5" Type="http://schemas.openxmlformats.org/officeDocument/2006/relationships/hyperlink" Target="consultantplus://offline/ref=F1E7622935B2DD92146D385AAE1252BDAD2B8E0295945AA3F97D39DB78CA6A10721CD0A5147BC530F49E751CCC2BC05921nDZBM" TargetMode="External"/><Relationship Id="rId15" Type="http://schemas.openxmlformats.org/officeDocument/2006/relationships/hyperlink" Target="consultantplus://offline/ref=F1E7622935B2DD92146D385AAE1252BDAD2B8E02959258A0F07B39DB78CA6A10721CD0A5067B9D39F39D60489971975422DAE8833E216CC098nEZ4M" TargetMode="External"/><Relationship Id="rId23" Type="http://schemas.openxmlformats.org/officeDocument/2006/relationships/hyperlink" Target="consultantplus://offline/ref=F1E7622935B2DD92146D385AAE1252BDAD2B8E02959258A0F07B39DB78CA6A10721CD0A5067B9D39F39D60489971975422DAE8833E216CC098nEZ4M" TargetMode="External"/><Relationship Id="rId28" Type="http://schemas.openxmlformats.org/officeDocument/2006/relationships/hyperlink" Target="consultantplus://offline/ref=F1E7622935B2DD92146D385AAE1252BDAD2B8E0295945AA3F97D39DB78CA6A10721CD0A5067B9D3CF59D6C1DC83E9608678CFB8239216EC484E4D9A2n6ZBM" TargetMode="External"/><Relationship Id="rId10" Type="http://schemas.openxmlformats.org/officeDocument/2006/relationships/hyperlink" Target="consultantplus://offline/ref=F1E7622935B2DD92146D385AAE1252BDAD2B8E0295945AA3F97D39DB78CA6A10721CD0A5067B9D39F19C60489971975422DAE8833E216CC098nEZ4M" TargetMode="External"/><Relationship Id="rId19" Type="http://schemas.openxmlformats.org/officeDocument/2006/relationships/hyperlink" Target="consultantplus://offline/ref=F1E7622935B2DD92146D385AAE1252BDAD2B8E02959258A0F07B39DB78CA6A10721CD0A5067B9D39F39B60489971975422DAE8833E216CC098nEZ4M" TargetMode="External"/><Relationship Id="rId31" Type="http://schemas.openxmlformats.org/officeDocument/2006/relationships/hyperlink" Target="consultantplus://offline/ref=F1E7622935B2DD92146D2657B87E0EB5A827D70F969152F4A5283F8C279A6C45325CD6F74D379336A1CC2F49C534C14723DDE8813A3Dn6Z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E7622935B2DD92146D385AAE1252BDAD2B8E0295945AA3F97D39DB78CA6A10721CD0A5147BC530F49E751CCC2BC05921nDZBM" TargetMode="External"/><Relationship Id="rId14" Type="http://schemas.openxmlformats.org/officeDocument/2006/relationships/hyperlink" Target="consultantplus://offline/ref=F1E7622935B2DD92146D385AAE1252BDAD2B8E02959258A0F07B39DB78CA6A10721CD0A5067B9D39F09860489971975422DAE8833E216CC098nEZ4M" TargetMode="External"/><Relationship Id="rId22" Type="http://schemas.openxmlformats.org/officeDocument/2006/relationships/hyperlink" Target="consultantplus://offline/ref=F1E7622935B2DD92146D385AAE1252BDAD2B8E02959258A0F07B39DB78CA6A10721CD0A5067B9D39F29F60489971975422DAE8833E216CC098nEZ4M" TargetMode="External"/><Relationship Id="rId27" Type="http://schemas.openxmlformats.org/officeDocument/2006/relationships/hyperlink" Target="consultantplus://offline/ref=F1E7622935B2DD92146D385AAE1252BDAD2B8E0295945AA3F97D39DB78CA6A10721CD0A5067B9D39FD9D60489971975422DAE8833E216CC098nEZ4M" TargetMode="External"/><Relationship Id="rId30" Type="http://schemas.openxmlformats.org/officeDocument/2006/relationships/hyperlink" Target="consultantplus://offline/ref=F1E7622935B2DD92146D2657B87E0EB5A827D70F969152F4A5283F8C279A6C45325CD6F246379536A1CC2F49C534C14723DDE8813A3Dn6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2447</Words>
  <Characters>13949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2022-04-13T12:25:00Z</dcterms:created>
  <dcterms:modified xsi:type="dcterms:W3CDTF">2022-04-13T12:26:00Z</dcterms:modified>
</cp:coreProperties>
</file>