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4" w:rsidRDefault="00551A44">
      <w:pPr>
        <w:pStyle w:val="ConsPlusTitlePage"/>
      </w:pPr>
    </w:p>
    <w:p w:rsidR="00551A44" w:rsidRDefault="00551A44">
      <w:pPr>
        <w:pStyle w:val="ConsPlusNormal"/>
        <w:jc w:val="both"/>
        <w:outlineLvl w:val="0"/>
      </w:pPr>
    </w:p>
    <w:p w:rsidR="00551A44" w:rsidRDefault="00551A44">
      <w:pPr>
        <w:pStyle w:val="ConsPlusTitle"/>
        <w:jc w:val="center"/>
        <w:outlineLvl w:val="0"/>
      </w:pPr>
      <w:r>
        <w:t>ПРАВИТЕЛЬСТВО САМАРСКОЙ ОБЛАСТИ</w:t>
      </w:r>
    </w:p>
    <w:p w:rsidR="00551A44" w:rsidRDefault="00551A44">
      <w:pPr>
        <w:pStyle w:val="ConsPlusTitle"/>
        <w:jc w:val="center"/>
      </w:pPr>
    </w:p>
    <w:p w:rsidR="00551A44" w:rsidRDefault="00551A44">
      <w:pPr>
        <w:pStyle w:val="ConsPlusTitle"/>
        <w:jc w:val="center"/>
      </w:pPr>
      <w:r>
        <w:t>ПОСТАНОВЛЕНИЕ</w:t>
      </w:r>
    </w:p>
    <w:p w:rsidR="00551A44" w:rsidRDefault="00551A44">
      <w:pPr>
        <w:pStyle w:val="ConsPlusTitle"/>
        <w:jc w:val="center"/>
      </w:pPr>
      <w:r>
        <w:t>от 29 декабря 2014 г. N 854</w:t>
      </w:r>
    </w:p>
    <w:p w:rsidR="00551A44" w:rsidRDefault="00551A44">
      <w:pPr>
        <w:pStyle w:val="ConsPlusTitle"/>
        <w:jc w:val="center"/>
      </w:pPr>
    </w:p>
    <w:p w:rsidR="00551A44" w:rsidRDefault="00551A44">
      <w:pPr>
        <w:pStyle w:val="ConsPlusTitle"/>
        <w:jc w:val="center"/>
      </w:pPr>
      <w:r>
        <w:t>ОБ УТВЕРЖДЕНИИ ПОЛОЖЕНИЯ О МЕТОДИКЕ ПРОВЕДЕНИЯ</w:t>
      </w:r>
    </w:p>
    <w:p w:rsidR="00551A44" w:rsidRDefault="00551A44">
      <w:pPr>
        <w:pStyle w:val="ConsPlusTitle"/>
        <w:jc w:val="center"/>
      </w:pPr>
      <w:r>
        <w:t>АНАЛИЗА ФИНАНСОВОГО СОСТОЯНИЯ ЮРИДИЧЕСКИХ ЛИЦ</w:t>
      </w:r>
    </w:p>
    <w:p w:rsidR="00551A44" w:rsidRDefault="00551A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1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A44" w:rsidRDefault="00551A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A44" w:rsidRDefault="00551A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A44" w:rsidRDefault="00551A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A44" w:rsidRDefault="00551A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04.06.2019 </w:t>
            </w:r>
            <w:hyperlink r:id="rId4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1A44" w:rsidRDefault="00551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11.12.2023 </w:t>
            </w:r>
            <w:hyperlink r:id="rId5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A44" w:rsidRDefault="00551A44">
            <w:pPr>
              <w:pStyle w:val="ConsPlusNormal"/>
            </w:pPr>
          </w:p>
        </w:tc>
      </w:tr>
    </w:tbl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86</w:t>
        </w:r>
      </w:hyperlink>
      <w:r>
        <w:t xml:space="preserve"> Устава Самарской области в целях установления единых подходов к методике проведения анализа финансового состояния юридических лиц в случаях предоставления государственных гарантий Самарской области, пролонгации ранее предоставленных бюджетных кредитов, 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</w:t>
      </w:r>
      <w:proofErr w:type="gramEnd"/>
      <w:r>
        <w:t xml:space="preserve"> соответствующими договорами (соглашениями) о предоставлении бюджетных кредитов, предоставления имущества Самарской области, составляющего залоговый фонд Самарской области, в залог и иных случаях, предусмотренных действующим законодательством, Правительство Самарской области постановляет: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методике проведения анализа финансового состояния юридических лиц.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right"/>
      </w:pPr>
      <w:r>
        <w:t>Первый вице-губернатор - председатель</w:t>
      </w:r>
    </w:p>
    <w:p w:rsidR="00551A44" w:rsidRDefault="00551A44">
      <w:pPr>
        <w:pStyle w:val="ConsPlusNormal"/>
        <w:jc w:val="right"/>
      </w:pPr>
      <w:r>
        <w:t>Правительства Самарской области</w:t>
      </w:r>
    </w:p>
    <w:p w:rsidR="00551A44" w:rsidRDefault="00551A44">
      <w:pPr>
        <w:pStyle w:val="ConsPlusNormal"/>
        <w:jc w:val="right"/>
      </w:pPr>
      <w:r>
        <w:t>А.П.НЕФЕДОВ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right"/>
        <w:outlineLvl w:val="0"/>
      </w:pPr>
      <w:r>
        <w:t>Утверждено</w:t>
      </w:r>
    </w:p>
    <w:p w:rsidR="00551A44" w:rsidRDefault="00551A44">
      <w:pPr>
        <w:pStyle w:val="ConsPlusNormal"/>
        <w:jc w:val="right"/>
      </w:pPr>
      <w:r>
        <w:t>Постановлением</w:t>
      </w:r>
    </w:p>
    <w:p w:rsidR="00551A44" w:rsidRDefault="00551A44">
      <w:pPr>
        <w:pStyle w:val="ConsPlusNormal"/>
        <w:jc w:val="right"/>
      </w:pPr>
      <w:r>
        <w:t>Правительства Самарской области</w:t>
      </w:r>
    </w:p>
    <w:p w:rsidR="00551A44" w:rsidRDefault="00551A44">
      <w:pPr>
        <w:pStyle w:val="ConsPlusNormal"/>
        <w:jc w:val="right"/>
      </w:pPr>
      <w:r>
        <w:t>от 29 декабря 2014 г. N 854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Title"/>
        <w:jc w:val="center"/>
      </w:pPr>
      <w:bookmarkStart w:id="0" w:name="P30"/>
      <w:bookmarkEnd w:id="0"/>
      <w:r>
        <w:t>ПОЛОЖЕНИЕ</w:t>
      </w:r>
    </w:p>
    <w:p w:rsidR="00551A44" w:rsidRDefault="00551A44">
      <w:pPr>
        <w:pStyle w:val="ConsPlusTitle"/>
        <w:jc w:val="center"/>
      </w:pPr>
      <w:r>
        <w:t>О МЕТОДИКЕ ПРОВЕДЕНИЯ АНАЛИЗА ФИНАНСОВОГО СОСТОЯНИЯ</w:t>
      </w:r>
    </w:p>
    <w:p w:rsidR="00551A44" w:rsidRDefault="00551A44">
      <w:pPr>
        <w:pStyle w:val="ConsPlusTitle"/>
        <w:jc w:val="center"/>
      </w:pPr>
      <w:r>
        <w:t>ЮРИДИЧЕСКИХ ЛИЦ</w:t>
      </w:r>
    </w:p>
    <w:p w:rsidR="00551A44" w:rsidRDefault="00551A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51A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A44" w:rsidRDefault="00551A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A44" w:rsidRDefault="00551A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1A44" w:rsidRDefault="00551A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1A44" w:rsidRDefault="00551A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04.06.2019 </w:t>
            </w:r>
            <w:hyperlink r:id="rId7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1A44" w:rsidRDefault="00551A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11.12.2023 </w:t>
            </w:r>
            <w:hyperlink r:id="rId8">
              <w:r>
                <w:rPr>
                  <w:color w:val="0000FF"/>
                </w:rPr>
                <w:t>N 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1A44" w:rsidRDefault="00551A44">
            <w:pPr>
              <w:pStyle w:val="ConsPlusNormal"/>
            </w:pPr>
          </w:p>
        </w:tc>
      </w:tr>
    </w:tbl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ind w:firstLine="540"/>
        <w:jc w:val="both"/>
      </w:pPr>
      <w:bookmarkStart w:id="1" w:name="P37"/>
      <w:bookmarkEnd w:id="1"/>
      <w:r>
        <w:lastRenderedPageBreak/>
        <w:t>1. Настоящее Положение определяет методику проведения уполномоченными органами анализа финансового состояния юридических лиц в случаях: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предоставления государственных гарантий Самарской области;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пролонгации ранее предоставленных бюджетных кредитов;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осуществления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предоставления имущества Самарской области, составляющего залоговый фонд Самарской области, в залог;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иных случаях, предусмотренных действующим законодательством.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под юридическими лицами понимаются юридические лица всех форм собственности, в отношении которых уполномоченными органами осуществляется анализ финансового состояния в случаях, установленных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под уполномоченными органами понимаются органы исполнительной власти Самарской области, уполномоченные на реализацию соответствующих мероприятий в случаях, установленных </w:t>
      </w:r>
      <w:hyperlink w:anchor="P37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551A44" w:rsidRDefault="00551A44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В целях проведения анализа финансового состояния юридическими лицами в уполномоченные органы представляются следующие документы: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по состоянию не ранее чем за 5 рабочих дней до даты обращения юридического лица в уполномоченный орган (по собственной инициативе). В случае если выписка из Единого государственного реестра юридических лиц не была представлена юридическим лицом самостоятельно, уполномоченный орган получает соответствующие сведения с официального сайта Федеральной налоговой службы</w:t>
      </w:r>
      <w:proofErr w:type="gramStart"/>
      <w:r>
        <w:t>;;</w:t>
      </w:r>
    </w:p>
    <w:p w:rsidR="00551A44" w:rsidRDefault="00551A44">
      <w:pPr>
        <w:pStyle w:val="ConsPlusNormal"/>
        <w:jc w:val="both"/>
      </w:pPr>
      <w:proofErr w:type="gramEnd"/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04.06.2019 N 367)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копии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>
        <w:t>ии ау</w:t>
      </w:r>
      <w:proofErr w:type="gramEnd"/>
      <w:r>
        <w:t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последних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юридического лица (при наличии), годовая бухгалтерская отчетность представляется с отметкой налогового органа о принятии;</w:t>
      </w:r>
    </w:p>
    <w:p w:rsidR="00551A44" w:rsidRDefault="00551A4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04.06.2019 N 367)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расшифровки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 (при наличии);</w:t>
      </w:r>
    </w:p>
    <w:p w:rsidR="00551A44" w:rsidRDefault="00551A4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04.06.2019 N 367)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lastRenderedPageBreak/>
        <w:t>расчеты чистых активов юридического лица за два предыдущих финансовых года и на последнюю отчетную дату, подписанные руководителем и заверенные печатью юридического лица (при наличии);</w:t>
      </w:r>
    </w:p>
    <w:p w:rsidR="00551A44" w:rsidRDefault="00551A4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04.06.2019 N 367)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справка налогового органа об отсутств</w:t>
      </w:r>
      <w:proofErr w:type="gramStart"/>
      <w:r>
        <w:t>ии у ю</w:t>
      </w:r>
      <w:proofErr w:type="gramEnd"/>
      <w: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справка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 (при наличии);</w:t>
      </w:r>
    </w:p>
    <w:p w:rsidR="00551A44" w:rsidRDefault="00551A4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04.06.2019 N 367)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справка, подписанная руководителем и заверенная печатью юридического лица (при наличии), о том, что деятельность юридического лица не приостановлена в порядке, предусмотренном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обращения в уполномоченный орган.</w:t>
      </w:r>
    </w:p>
    <w:p w:rsidR="00551A44" w:rsidRDefault="00551A4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04.06.2019 N 367)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В целях проведения анализа финансового состояния юридического лица в случае рассмотрения вопроса о предоставлении имущества Самарской области, составляющего залоговый фонд Самарской области, в залог, перечень документов и порядок их представления устанавливается Правительством Самарской области.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Дополнительные документы представляются в уполномоченные органы в случаях, установленных Правительством Самарской области, или в определенных указанными органами порядках.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4. Не допускается проведение анализа финансового состояния юридического лица при наличии следующих обстоятельств: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непредставление юридическим лицом любого из указанных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Положения документов;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наличие просроченной задолженности по денежным обязательствам перед областным бюджетом и по обязательным платежам в бюджеты бюджетной системы Российской Федерации;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наличие просроченной задолженности по заработной плате;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в отношении юридического лица в соответствии с действующим законодательством осуществляется процедура ликвидации, реорганизации, банкротства;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в отношении юридического лица осуществляется процедура приостановления деятельности в порядке, предусмотренном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51A44" w:rsidRDefault="00551A44">
      <w:pPr>
        <w:pStyle w:val="ConsPlusNormal"/>
        <w:spacing w:before="220"/>
        <w:ind w:firstLine="540"/>
        <w:jc w:val="both"/>
      </w:pPr>
      <w:proofErr w:type="gramStart"/>
      <w:r>
        <w:t>стоимость чистых активов юридического лица на последнюю отчетную дату меньше величины, равной трехкратной сумме обеспечиваемого кредита либо государственной гарантии (применяется при проведении оценки надежности (ликвидности) поручительств, предоставляемых в обеспечение исполнения обязательств по государственным гарантиям Самарской области, а также по возврату бюджетных кредитов, уплате процентов и иных платежей, предусмотренных соответствующими договорами (соглашениями) о предоставлении бюджетных кредитов.</w:t>
      </w:r>
      <w:proofErr w:type="gramEnd"/>
      <w:r>
        <w:t xml:space="preserve"> </w:t>
      </w:r>
      <w:proofErr w:type="gramStart"/>
      <w:r>
        <w:t xml:space="preserve">Указанное требование, касающееся стоимости чистых активов поручителя, не распространяется на поручительство юридического лица (поручителя), в случае уменьшения </w:t>
      </w:r>
      <w:r>
        <w:lastRenderedPageBreak/>
        <w:t>размера финансовой устойчивости которого федеральным законом предусмотрена возможность увеличения в соответствии с нормативным правовым актом Правительства Российской Федерации уставного капитала юридического лица, в собственности которого находятся 100 процентов акций (долей в уставном капитале) указанного поручителя, в целях соответствующего увеличения уставного капитала указанного поручителя).</w:t>
      </w:r>
      <w:proofErr w:type="gramEnd"/>
    </w:p>
    <w:p w:rsidR="00551A44" w:rsidRDefault="00551A4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11.12.2023 N 1004)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5. Анализ финансового состояния юридического лица осуществляется на основании данных представленной бухгалтерской отчетности за </w:t>
      </w:r>
      <w:proofErr w:type="gramStart"/>
      <w:r>
        <w:t>предыдущих</w:t>
      </w:r>
      <w:proofErr w:type="gramEnd"/>
      <w:r>
        <w:t xml:space="preserve"> два финансовых года (при наличии таковых) и на последнюю отчетную дату.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Финансовое состояние юридического лица определяется с помощью показателей, приведенных в </w:t>
      </w:r>
      <w:hyperlink w:anchor="P72">
        <w:r>
          <w:rPr>
            <w:color w:val="0000FF"/>
          </w:rPr>
          <w:t>таблице 1</w:t>
        </w:r>
      </w:hyperlink>
      <w:r>
        <w:t>.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right"/>
      </w:pPr>
      <w:bookmarkStart w:id="3" w:name="P72"/>
      <w:bookmarkEnd w:id="3"/>
      <w:r>
        <w:t>Таблица 1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sectPr w:rsidR="00551A44" w:rsidSect="00387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871"/>
        <w:gridCol w:w="4876"/>
        <w:gridCol w:w="2098"/>
        <w:gridCol w:w="2041"/>
      </w:tblGrid>
      <w:tr w:rsidR="00551A44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Расшифровка формулы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Назначение показателя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Оценка ликвидности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абсолютной ликвидности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Отношение финансовых вложений и денежных сре</w:t>
            </w:r>
            <w:proofErr w:type="gramStart"/>
            <w:r>
              <w:t>дств к с</w:t>
            </w:r>
            <w:proofErr w:type="gramEnd"/>
            <w:r>
              <w:t>умме краткосрочных обязательств по займам, кредитам, кредиторской задолженности и прочим 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= (ФВ + ДС)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ФВ - финансовые вложения (за исключением денежных эквивалентов),</w:t>
            </w:r>
          </w:p>
          <w:p w:rsidR="00551A44" w:rsidRDefault="00551A44">
            <w:pPr>
              <w:pStyle w:val="ConsPlusNormal"/>
            </w:pPr>
            <w:r>
              <w:t>ДС - денежные средства и денежные эквиваленты,</w:t>
            </w:r>
          </w:p>
          <w:p w:rsidR="00551A44" w:rsidRDefault="00551A44">
            <w:pPr>
              <w:pStyle w:val="ConsPlusNormal"/>
            </w:pPr>
            <w:r>
              <w:t>КК - краткосрочные кредиты и займы,</w:t>
            </w:r>
          </w:p>
          <w:p w:rsidR="00551A44" w:rsidRDefault="00551A44">
            <w:pPr>
              <w:pStyle w:val="ConsPlusNormal"/>
            </w:pPr>
            <w:r>
              <w:t>КЗ - кредиторская задолженность,</w:t>
            </w:r>
          </w:p>
          <w:p w:rsidR="00551A44" w:rsidRDefault="00551A44">
            <w:pPr>
              <w:pStyle w:val="ConsPlusNormal"/>
            </w:pPr>
            <w: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определяет, какая часть краткосрочных обязательств может быть немедленно погашена юридическим лицом за счет высоколиквидных активов (финансовых вложений, денежных средств, средств на расчетных счетах)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текущей ликвидности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 xml:space="preserve">Отношение оборотных активов без учета расходов будущих периодов к сумме краткосрочных обязательств по займам, кредитам, кредиторской задолженности и прочим </w:t>
            </w:r>
            <w:r>
              <w:lastRenderedPageBreak/>
              <w:t>краткосрочным обязательствам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lastRenderedPageBreak/>
              <w:t>К</w:t>
            </w:r>
            <w:proofErr w:type="gramStart"/>
            <w:r>
              <w:t>2</w:t>
            </w:r>
            <w:proofErr w:type="gramEnd"/>
            <w:r>
              <w:t xml:space="preserve"> = ОА / (КК + КЗ + ПКО)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ОА - оборотные активы,</w:t>
            </w:r>
          </w:p>
          <w:p w:rsidR="00551A44" w:rsidRDefault="00551A44">
            <w:pPr>
              <w:pStyle w:val="ConsPlusNormal"/>
            </w:pPr>
            <w:r>
              <w:t>КК - краткосрочные кредиты и займы,</w:t>
            </w:r>
          </w:p>
          <w:p w:rsidR="00551A44" w:rsidRDefault="00551A44">
            <w:pPr>
              <w:pStyle w:val="ConsPlusNormal"/>
            </w:pPr>
            <w:r>
              <w:t>КЗ - кредиторская задолженность,</w:t>
            </w:r>
          </w:p>
          <w:p w:rsidR="00551A44" w:rsidRDefault="00551A44">
            <w:pPr>
              <w:pStyle w:val="ConsPlusNormal"/>
            </w:pPr>
            <w:r>
              <w:t>ПКО - прочие краткосрочные обязательства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определяет, какая часть текущих обязательств юридического лица может быть погашена за счет оборотных активов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lastRenderedPageBreak/>
              <w:t>Оценка финансовой устойчивости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обеспеченности собственными средствами (К3)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 xml:space="preserve">Отношение разницы собственного капитала и резервов и </w:t>
            </w:r>
            <w:proofErr w:type="spellStart"/>
            <w:r>
              <w:t>внеоборотных</w:t>
            </w:r>
            <w:proofErr w:type="spellEnd"/>
            <w:r>
              <w:t xml:space="preserve"> активов к сумме оборотных активов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К3 = (СК - ВА) / ОА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СК - собственный капитал и резервы,</w:t>
            </w:r>
          </w:p>
          <w:p w:rsidR="00551A44" w:rsidRDefault="00551A44">
            <w:pPr>
              <w:pStyle w:val="ConsPlusNormal"/>
            </w:pPr>
            <w:r>
              <w:t xml:space="preserve">ВА - </w:t>
            </w:r>
            <w:proofErr w:type="spellStart"/>
            <w:r>
              <w:t>внеоборотные</w:t>
            </w:r>
            <w:proofErr w:type="spellEnd"/>
            <w:r>
              <w:t xml:space="preserve"> активы,</w:t>
            </w:r>
          </w:p>
          <w:p w:rsidR="00551A44" w:rsidRDefault="00551A44">
            <w:pPr>
              <w:pStyle w:val="ConsPlusNormal"/>
            </w:pPr>
            <w:r>
              <w:t>ОА - оборотные активы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определяет, какая часть оборотных активов финансируется за счет собственных оборотных источников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финансовой устойчивости (К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Отношение собственного капитала и резервов и долгосрочных обязательств к общей сумме баланса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</w:t>
            </w:r>
            <w:proofErr w:type="gramStart"/>
            <w:r>
              <w:t>4</w:t>
            </w:r>
            <w:proofErr w:type="gramEnd"/>
            <w:r>
              <w:t xml:space="preserve"> = (СК + ДО) / ИБ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СК - собственный капитал и резервы,</w:t>
            </w:r>
          </w:p>
          <w:p w:rsidR="00551A44" w:rsidRDefault="00551A44">
            <w:pPr>
              <w:pStyle w:val="ConsPlusNormal"/>
            </w:pPr>
            <w:proofErr w:type="gramStart"/>
            <w:r>
              <w:t>ДО - долгосрочные обязательства,</w:t>
            </w:r>
            <w:proofErr w:type="gramEnd"/>
          </w:p>
          <w:p w:rsidR="00551A44" w:rsidRDefault="00551A44">
            <w:pPr>
              <w:pStyle w:val="ConsPlusNormal"/>
            </w:pPr>
            <w:r>
              <w:t>ИБ - итог баланса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определяет, какая часть активов финансируется за счет устойчивых источников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соотношения заемных и собственных средств (К5)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Отношение заемных сре</w:t>
            </w:r>
            <w:proofErr w:type="gramStart"/>
            <w:r>
              <w:t>дств к с</w:t>
            </w:r>
            <w:proofErr w:type="gramEnd"/>
            <w:r>
              <w:t>обственному капиталу и резервам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К5 = (ДО + КК + КЗ + ПКО) / СК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proofErr w:type="gramStart"/>
            <w:r>
              <w:t>ДО - долгосрочные обязательства,</w:t>
            </w:r>
            <w:proofErr w:type="gramEnd"/>
          </w:p>
          <w:p w:rsidR="00551A44" w:rsidRDefault="00551A44">
            <w:pPr>
              <w:pStyle w:val="ConsPlusNormal"/>
            </w:pPr>
            <w:r>
              <w:t>КК - краткосрочные кредиты и займы,</w:t>
            </w:r>
          </w:p>
          <w:p w:rsidR="00551A44" w:rsidRDefault="00551A44">
            <w:pPr>
              <w:pStyle w:val="ConsPlusNormal"/>
            </w:pPr>
            <w:r>
              <w:t>КЗ - кредиторская задолженность,</w:t>
            </w:r>
          </w:p>
          <w:p w:rsidR="00551A44" w:rsidRDefault="00551A44">
            <w:pPr>
              <w:pStyle w:val="ConsPlusNormal"/>
            </w:pPr>
            <w:r>
              <w:t>ПКО - прочие кредиторские обязательства,</w:t>
            </w:r>
          </w:p>
          <w:p w:rsidR="00551A44" w:rsidRDefault="00551A44">
            <w:pPr>
              <w:pStyle w:val="ConsPlusNormal"/>
            </w:pPr>
            <w:r>
              <w:t>СК - собственный капитал и резервы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характеризует зависимость юридического лица от внешних источников финансирования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lastRenderedPageBreak/>
              <w:t>Коэффициент соотношения кредиторской и дебиторской задолженности 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Отношение кредиторской задолженности к дебиторской задолженности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</w:t>
            </w:r>
            <w:proofErr w:type="gramStart"/>
            <w:r>
              <w:t>6</w:t>
            </w:r>
            <w:proofErr w:type="gramEnd"/>
            <w:r>
              <w:t xml:space="preserve"> = КЗ / ДЗ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КЗ - кредиторская задолженность,</w:t>
            </w:r>
          </w:p>
          <w:p w:rsidR="00551A44" w:rsidRDefault="00551A44">
            <w:pPr>
              <w:pStyle w:val="ConsPlusNormal"/>
            </w:pPr>
            <w:r>
              <w:t>ДЗ - дебиторская задолженность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характеризует способность юридического лица погасить кредиторскую задолженность при условии благоприятных расчетов с дебиторами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Оценка рентабельности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Норма прибыли (К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Отношение чистой прибыли к выручке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</w:t>
            </w:r>
            <w:proofErr w:type="gramStart"/>
            <w:r>
              <w:t>7</w:t>
            </w:r>
            <w:proofErr w:type="gramEnd"/>
            <w:r>
              <w:t xml:space="preserve"> = ЧП / 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ЧП - чистая прибыль,</w:t>
            </w:r>
          </w:p>
          <w:p w:rsidR="00551A44" w:rsidRDefault="00551A44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- выручка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отражает результат эффективности деятельности юридического лица</w:t>
            </w:r>
          </w:p>
        </w:tc>
      </w:tr>
    </w:tbl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ind w:firstLine="540"/>
        <w:jc w:val="both"/>
      </w:pPr>
      <w:r>
        <w:t>В случае, если значение показателя ЧП (чистая прибыль) больше или равно нулю и значение показателя</w:t>
      </w:r>
      <w:proofErr w:type="gramStart"/>
      <w:r>
        <w:t xml:space="preserve"> В</w:t>
      </w:r>
      <w:proofErr w:type="gramEnd"/>
      <w:r>
        <w:t xml:space="preserve"> (выручка) равно нулю, коэффициент К7 (норма прибыли) признается равным нулю.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В случае, если значение показателя ЧП (чистая прибыль) меньше нуля и значение показателя</w:t>
      </w:r>
      <w:proofErr w:type="gramStart"/>
      <w:r>
        <w:t xml:space="preserve"> В</w:t>
      </w:r>
      <w:proofErr w:type="gramEnd"/>
      <w:r>
        <w:t xml:space="preserve"> (выручка) равно нулю, показатель коэффициента К7 (норма прибыли) признается отрицательным.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Для каждого показателя устанавливаются наилучшие и наихудшие пороговые значения. На основании полученного значения и пороговых значений для каждого показателя определяется одна из трех категорий риска.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Разбивка показателей на категории риска в зависимости от их фактических значений приведена в </w:t>
      </w:r>
      <w:hyperlink w:anchor="P140">
        <w:r>
          <w:rPr>
            <w:color w:val="0000FF"/>
          </w:rPr>
          <w:t>таблице 2</w:t>
        </w:r>
      </w:hyperlink>
      <w:r>
        <w:t>.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right"/>
      </w:pPr>
      <w:bookmarkStart w:id="4" w:name="P140"/>
      <w:bookmarkEnd w:id="4"/>
      <w:r>
        <w:t>Таблица 2</w:t>
      </w:r>
    </w:p>
    <w:p w:rsidR="00551A44" w:rsidRDefault="00551A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2708"/>
        <w:gridCol w:w="3231"/>
        <w:gridCol w:w="2891"/>
      </w:tblGrid>
      <w:tr w:rsidR="00551A44"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8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Категории риска</w:t>
            </w:r>
          </w:p>
        </w:tc>
      </w:tr>
      <w:tr w:rsidR="00551A44"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1 категория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2 категория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3 категория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абсолютной ликвидности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0,2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0,1 - 0,2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менее 0,1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текущей ликвидности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2,0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менее 1,0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обеспеченности собственными средствами (К3)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0,5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менее 0,1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финансовой устойчивости (К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0,6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0,5 - 0,6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менее 0,5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соотношения заемных и собственных средств (К5)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менее 1,0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1,0 - 2,0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2,0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соотношения кредиторской и дебиторской задолженности 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0,9 - 1,1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1,1 до 1,4</w:t>
            </w:r>
          </w:p>
          <w:p w:rsidR="00551A44" w:rsidRDefault="00551A44">
            <w:pPr>
              <w:pStyle w:val="ConsPlusNormal"/>
              <w:jc w:val="center"/>
            </w:pPr>
            <w:r>
              <w:t>или</w:t>
            </w:r>
          </w:p>
          <w:p w:rsidR="00551A44" w:rsidRDefault="00551A44">
            <w:pPr>
              <w:pStyle w:val="ConsPlusNormal"/>
              <w:jc w:val="center"/>
            </w:pPr>
            <w:r>
              <w:t>менее 0,9 до 0,7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менее 0, 7</w:t>
            </w:r>
          </w:p>
          <w:p w:rsidR="00551A44" w:rsidRDefault="00551A44">
            <w:pPr>
              <w:pStyle w:val="ConsPlusNormal"/>
              <w:jc w:val="center"/>
            </w:pPr>
            <w:r>
              <w:t>или</w:t>
            </w:r>
          </w:p>
          <w:p w:rsidR="00551A44" w:rsidRDefault="00551A44">
            <w:pPr>
              <w:pStyle w:val="ConsPlusNormal"/>
              <w:jc w:val="center"/>
            </w:pPr>
            <w:r>
              <w:t>более 1,4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Норма прибыли (К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более 0,15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0 - 0,15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отрицательное значение</w:t>
            </w:r>
          </w:p>
        </w:tc>
      </w:tr>
    </w:tbl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расчета значение показателя отрицательное, то показатель приравнивается к 3 категории риска.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Далее определяется сумма баллов по показателям в соответствии с их весом.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Значения веса для каждого показателя приведены в </w:t>
      </w:r>
      <w:hyperlink w:anchor="P184">
        <w:r>
          <w:rPr>
            <w:color w:val="0000FF"/>
          </w:rPr>
          <w:t>таблице 3</w:t>
        </w:r>
      </w:hyperlink>
      <w:r>
        <w:t>.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right"/>
      </w:pPr>
      <w:bookmarkStart w:id="5" w:name="P184"/>
      <w:bookmarkEnd w:id="5"/>
      <w:r>
        <w:t>Таблица 3</w:t>
      </w:r>
    </w:p>
    <w:p w:rsidR="00551A44" w:rsidRDefault="00551A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15"/>
        <w:gridCol w:w="2835"/>
      </w:tblGrid>
      <w:tr w:rsidR="00551A44">
        <w:tc>
          <w:tcPr>
            <w:tcW w:w="10715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1A44" w:rsidRDefault="00551A44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абсолютной ликвидности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0,05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текущей ликвидности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0,2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обеспеченности собственными средствами (К3)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0,2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lastRenderedPageBreak/>
              <w:t>Коэффициент финансовой устойчивости (К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0,2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соотношения заемных и собственных средств (К5)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0,15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Коэффициент соотношения кредиторской и дебиторской задолженности (К</w:t>
            </w:r>
            <w:proofErr w:type="gramStart"/>
            <w:r>
              <w:t>6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0,15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Норма прибыли (К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0,05</w:t>
            </w:r>
          </w:p>
        </w:tc>
      </w:tr>
      <w:tr w:rsidR="00551A4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1A44" w:rsidRDefault="00551A44">
            <w:pPr>
              <w:pStyle w:val="ConsPlusNormal"/>
              <w:jc w:val="center"/>
            </w:pPr>
            <w:r>
              <w:t>1</w:t>
            </w:r>
          </w:p>
        </w:tc>
      </w:tr>
    </w:tbl>
    <w:p w:rsidR="00551A44" w:rsidRDefault="00551A44">
      <w:pPr>
        <w:pStyle w:val="ConsPlusNormal"/>
        <w:sectPr w:rsidR="00551A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ind w:firstLine="540"/>
        <w:jc w:val="both"/>
      </w:pPr>
      <w:r>
        <w:t>6. На основе категорий риска определяется значение сводной оценки, которая вычисляется по следующей формуле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202247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ind w:firstLine="540"/>
        <w:jc w:val="both"/>
      </w:pPr>
      <w:r>
        <w:t>где S - сводная оценка,</w:t>
      </w:r>
    </w:p>
    <w:p w:rsidR="00551A44" w:rsidRDefault="00551A44">
      <w:pPr>
        <w:pStyle w:val="ConsPlusNormal"/>
        <w:spacing w:before="220"/>
        <w:ind w:firstLine="540"/>
        <w:jc w:val="both"/>
      </w:pPr>
      <w:proofErr w:type="spellStart"/>
      <w:r>
        <w:t>ВесК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значение веса i-го показателя,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категория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категория риска (1, 2, 3), соответствующая значению i-го показателя.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7. На основании значения сводной оценки определяется, к </w:t>
      </w:r>
      <w:proofErr w:type="gramStart"/>
      <w:r>
        <w:t>какому</w:t>
      </w:r>
      <w:proofErr w:type="gramEnd"/>
      <w:r>
        <w:t xml:space="preserve"> из трех классов финансового состояния относится финансовое состояние юридического лица: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1 класс - устойчивое финансовое состояние (значение S не превышает 1,2);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2 класс - удовлетворительное финансовое состояние (значение S больше 1,2 (включительно), но не превышает 2,25 (включительно);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3 класс - неудовлетворительное финансовое состояние (значение S больше 2,25).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Расчет каждой сводной оценки осуществляется за </w:t>
      </w:r>
      <w:proofErr w:type="gramStart"/>
      <w:r>
        <w:t>предыдущих</w:t>
      </w:r>
      <w:proofErr w:type="gramEnd"/>
      <w:r>
        <w:t xml:space="preserve"> два года (при наличии таковых) и последнюю отчетную дату.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8. При наличии неудовлетворительного финансового состояния юридического лица хотя бы в одном из анализируемых периодов (наличие 3 класса) финансовая оценка возможности исполнения юридическим лицом обязатель</w:t>
      </w:r>
      <w:proofErr w:type="gramStart"/>
      <w:r>
        <w:t>ств в сл</w:t>
      </w:r>
      <w:proofErr w:type="gramEnd"/>
      <w:r>
        <w:t>учае предоставления имущества Самарской области, составляющего залоговый фонд Самарской области, в залог признается отрицательной.</w:t>
      </w:r>
    </w:p>
    <w:p w:rsidR="00551A44" w:rsidRDefault="00551A44">
      <w:pPr>
        <w:pStyle w:val="ConsPlusNormal"/>
        <w:spacing w:before="220"/>
        <w:ind w:firstLine="540"/>
        <w:jc w:val="both"/>
      </w:pPr>
      <w:r>
        <w:t>При наличии неудовлетворительного финансового состояния юридического лица хотя бы в одном из анализируемых периодов (наличие 3 класса) финансовое состояние юридического лица, обратившегося за получением государственной гарантии Самарской области, признается неудовлетворительным.</w:t>
      </w:r>
    </w:p>
    <w:p w:rsidR="00551A44" w:rsidRDefault="00551A44">
      <w:pPr>
        <w:pStyle w:val="ConsPlusNormal"/>
        <w:spacing w:before="220"/>
        <w:ind w:firstLine="540"/>
        <w:jc w:val="both"/>
      </w:pPr>
      <w:proofErr w:type="gramStart"/>
      <w:r>
        <w:t>При наличии неудовлетворительного финансового состояния юридического лица хотя бы в одном из анализируемых периодов (наличие 3 класса) результаты оценки надежности (ликвидности) поручительства, предоставляемого в обеспечение исполнения обязательств по государственным гарантиям Самарской области, а также по возврату бюджетного кредита, уплате процентных и иных платежей, предусмотренных законом и (или) договором, признаются ненадежными (неликвидными).</w:t>
      </w:r>
      <w:proofErr w:type="gramEnd"/>
    </w:p>
    <w:p w:rsidR="00551A44" w:rsidRDefault="00551A44">
      <w:pPr>
        <w:pStyle w:val="ConsPlusNormal"/>
        <w:spacing w:before="220"/>
        <w:ind w:firstLine="540"/>
        <w:jc w:val="both"/>
      </w:pPr>
      <w:r>
        <w:t xml:space="preserve">9. Результаты </w:t>
      </w:r>
      <w:proofErr w:type="gramStart"/>
      <w:r>
        <w:t>проведения анализа показателей финансового состояния юридических лиц</w:t>
      </w:r>
      <w:proofErr w:type="gramEnd"/>
      <w:r>
        <w:t xml:space="preserve"> оформляются уполномоченными органами в установленном ими порядке.</w:t>
      </w: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jc w:val="both"/>
      </w:pPr>
    </w:p>
    <w:p w:rsidR="00551A44" w:rsidRDefault="00551A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AFD" w:rsidRDefault="00E43AFD"/>
    <w:sectPr w:rsidR="00E43AFD" w:rsidSect="00FB12F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44"/>
    <w:rsid w:val="00551A44"/>
    <w:rsid w:val="008423C2"/>
    <w:rsid w:val="00E4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1A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1A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7276&amp;dst=100006" TargetMode="External"/><Relationship Id="rId13" Type="http://schemas.openxmlformats.org/officeDocument/2006/relationships/hyperlink" Target="https://login.consultant.ru/link/?req=doc&amp;base=RLAW256&amp;n=119489&amp;dst=100009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19489&amp;dst=100006" TargetMode="External"/><Relationship Id="rId12" Type="http://schemas.openxmlformats.org/officeDocument/2006/relationships/hyperlink" Target="https://login.consultant.ru/link/?req=doc&amp;base=RLAW256&amp;n=119489&amp;dst=100009" TargetMode="External"/><Relationship Id="rId17" Type="http://schemas.openxmlformats.org/officeDocument/2006/relationships/hyperlink" Target="https://login.consultant.ru/link/?req=doc&amp;base=RLAW256&amp;n=177276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41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6507&amp;dst=100301" TargetMode="External"/><Relationship Id="rId11" Type="http://schemas.openxmlformats.org/officeDocument/2006/relationships/hyperlink" Target="https://login.consultant.ru/link/?req=doc&amp;base=RLAW256&amp;n=119489&amp;dst=100009" TargetMode="External"/><Relationship Id="rId5" Type="http://schemas.openxmlformats.org/officeDocument/2006/relationships/hyperlink" Target="https://login.consultant.ru/link/?req=doc&amp;base=RLAW256&amp;n=177276&amp;dst=100005" TargetMode="External"/><Relationship Id="rId15" Type="http://schemas.openxmlformats.org/officeDocument/2006/relationships/hyperlink" Target="https://login.consultant.ru/link/?req=doc&amp;base=RLAW256&amp;n=119489&amp;dst=100009" TargetMode="External"/><Relationship Id="rId10" Type="http://schemas.openxmlformats.org/officeDocument/2006/relationships/hyperlink" Target="https://login.consultant.ru/link/?req=doc&amp;base=RLAW256&amp;n=119489&amp;dst=1000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56&amp;n=119489&amp;dst=100005" TargetMode="External"/><Relationship Id="rId9" Type="http://schemas.openxmlformats.org/officeDocument/2006/relationships/hyperlink" Target="https://login.consultant.ru/link/?req=doc&amp;base=RLAW256&amp;n=119489&amp;dst=100008" TargetMode="External"/><Relationship Id="rId14" Type="http://schemas.openxmlformats.org/officeDocument/2006/relationships/hyperlink" Target="https://login.consultant.ru/link/?req=doc&amp;base=LAW&amp;n=464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14842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Колмычкова</dc:creator>
  <cp:lastModifiedBy>Колмычкова</cp:lastModifiedBy>
  <cp:revision>1</cp:revision>
  <dcterms:created xsi:type="dcterms:W3CDTF">2023-12-18T11:08:00Z</dcterms:created>
  <dcterms:modified xsi:type="dcterms:W3CDTF">2023-12-18T11:09:00Z</dcterms:modified>
</cp:coreProperties>
</file>