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3774"/>
        <w:gridCol w:w="6006"/>
        <w:gridCol w:w="4961"/>
      </w:tblGrid>
      <w:tr w:rsidR="00AA6832" w:rsidRPr="007D42F0" w:rsidTr="00F128E8">
        <w:tc>
          <w:tcPr>
            <w:tcW w:w="710" w:type="dxa"/>
          </w:tcPr>
          <w:p w:rsidR="00AA6832" w:rsidRPr="00886F4F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A6832" w:rsidRPr="00886F4F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AA6832" w:rsidRPr="00886F4F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6832" w:rsidRPr="00881171" w:rsidRDefault="00440E67" w:rsidP="008633C4">
            <w:pPr>
              <w:pStyle w:val="3"/>
              <w:widowControl w:val="0"/>
              <w:shd w:val="clear" w:color="auto" w:fill="auto"/>
              <w:spacing w:line="240" w:lineRule="auto"/>
              <w:ind w:left="20" w:right="20" w:hanging="217"/>
              <w:jc w:val="center"/>
              <w:rPr>
                <w:rStyle w:val="a9"/>
                <w:rFonts w:eastAsia="Trebuchet MS"/>
                <w:b w:val="0"/>
                <w:sz w:val="28"/>
                <w:szCs w:val="28"/>
              </w:rPr>
            </w:pPr>
            <w:r w:rsidRPr="00881171">
              <w:rPr>
                <w:rStyle w:val="a9"/>
                <w:rFonts w:eastAsia="Trebuchet MS"/>
                <w:b w:val="0"/>
                <w:sz w:val="28"/>
                <w:szCs w:val="28"/>
              </w:rPr>
              <w:t xml:space="preserve">ПРИЛОЖЕНИЕ </w:t>
            </w:r>
            <w:r w:rsidR="000911F8" w:rsidRPr="00881171">
              <w:rPr>
                <w:rStyle w:val="a9"/>
                <w:rFonts w:eastAsia="Trebuchet MS"/>
                <w:b w:val="0"/>
                <w:sz w:val="28"/>
                <w:szCs w:val="28"/>
              </w:rPr>
              <w:t>3</w:t>
            </w:r>
          </w:p>
          <w:p w:rsidR="00AA6832" w:rsidRPr="00881171" w:rsidRDefault="00AA6832" w:rsidP="008633C4">
            <w:pPr>
              <w:pStyle w:val="3"/>
              <w:widowControl w:val="0"/>
              <w:shd w:val="clear" w:color="auto" w:fill="auto"/>
              <w:spacing w:line="240" w:lineRule="auto"/>
              <w:ind w:left="20" w:right="20" w:hanging="217"/>
              <w:jc w:val="center"/>
              <w:rPr>
                <w:sz w:val="28"/>
                <w:szCs w:val="28"/>
              </w:rPr>
            </w:pPr>
            <w:r w:rsidRPr="00881171">
              <w:rPr>
                <w:rStyle w:val="a9"/>
                <w:rFonts w:eastAsia="Trebuchet MS"/>
                <w:b w:val="0"/>
                <w:sz w:val="28"/>
                <w:szCs w:val="28"/>
              </w:rPr>
              <w:t xml:space="preserve">к </w:t>
            </w:r>
            <w:r w:rsidR="003D1CFB" w:rsidRPr="00881171">
              <w:rPr>
                <w:sz w:val="28"/>
                <w:szCs w:val="28"/>
              </w:rPr>
              <w:t>государственной программе</w:t>
            </w:r>
          </w:p>
          <w:p w:rsidR="00252D27" w:rsidRPr="00881171" w:rsidRDefault="00252D27" w:rsidP="008633C4">
            <w:pPr>
              <w:pStyle w:val="3"/>
              <w:widowControl w:val="0"/>
              <w:shd w:val="clear" w:color="auto" w:fill="auto"/>
              <w:spacing w:line="240" w:lineRule="auto"/>
              <w:ind w:left="20" w:right="20" w:hanging="217"/>
              <w:jc w:val="center"/>
              <w:rPr>
                <w:sz w:val="28"/>
                <w:szCs w:val="28"/>
              </w:rPr>
            </w:pPr>
            <w:r w:rsidRPr="00881171">
              <w:rPr>
                <w:sz w:val="28"/>
                <w:szCs w:val="28"/>
              </w:rPr>
              <w:t>Самарской области</w:t>
            </w:r>
          </w:p>
          <w:p w:rsidR="00AA6832" w:rsidRPr="00881171" w:rsidRDefault="00252D27" w:rsidP="008633C4">
            <w:pPr>
              <w:widowControl w:val="0"/>
              <w:ind w:hanging="2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171">
              <w:rPr>
                <w:rFonts w:ascii="Times New Roman" w:hAnsi="Times New Roman"/>
                <w:sz w:val="28"/>
                <w:szCs w:val="28"/>
              </w:rPr>
              <w:t>«</w:t>
            </w:r>
            <w:r w:rsidR="003D1CFB" w:rsidRPr="00881171">
              <w:rPr>
                <w:rFonts w:ascii="Times New Roman" w:hAnsi="Times New Roman"/>
                <w:sz w:val="28"/>
                <w:szCs w:val="28"/>
              </w:rPr>
              <w:t xml:space="preserve">Управление государственными </w:t>
            </w:r>
            <w:r w:rsidR="00F128E8" w:rsidRPr="00F128E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D1CFB" w:rsidRPr="00881171">
              <w:rPr>
                <w:rFonts w:ascii="Times New Roman" w:hAnsi="Times New Roman"/>
                <w:sz w:val="28"/>
                <w:szCs w:val="28"/>
              </w:rPr>
              <w:t xml:space="preserve">финансами и развитие </w:t>
            </w:r>
            <w:proofErr w:type="gramStart"/>
            <w:r w:rsidR="003D1CFB" w:rsidRPr="00881171">
              <w:rPr>
                <w:rFonts w:ascii="Times New Roman" w:hAnsi="Times New Roman"/>
                <w:sz w:val="28"/>
                <w:szCs w:val="28"/>
              </w:rPr>
              <w:t>межбюджетных</w:t>
            </w:r>
            <w:proofErr w:type="gramEnd"/>
            <w:r w:rsidR="003D1CFB" w:rsidRPr="00881171">
              <w:rPr>
                <w:rFonts w:ascii="Times New Roman" w:hAnsi="Times New Roman"/>
                <w:sz w:val="28"/>
                <w:szCs w:val="28"/>
              </w:rPr>
              <w:t xml:space="preserve"> отношений</w:t>
            </w:r>
            <w:r w:rsidR="00AA6832" w:rsidRPr="00881171">
              <w:rPr>
                <w:rFonts w:ascii="Times New Roman" w:hAnsi="Times New Roman"/>
                <w:sz w:val="28"/>
                <w:szCs w:val="28"/>
              </w:rPr>
              <w:t>»</w:t>
            </w:r>
            <w:r w:rsidR="00150C30" w:rsidRPr="00881171">
              <w:rPr>
                <w:rFonts w:ascii="Times New Roman" w:hAnsi="Times New Roman"/>
                <w:sz w:val="28"/>
                <w:szCs w:val="28"/>
              </w:rPr>
              <w:t xml:space="preserve"> на 2014</w:t>
            </w:r>
            <w:r w:rsidR="009D15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50C30" w:rsidRPr="00881171">
              <w:rPr>
                <w:rFonts w:ascii="Times New Roman" w:hAnsi="Times New Roman"/>
                <w:sz w:val="28"/>
                <w:szCs w:val="28"/>
              </w:rPr>
              <w:t>20</w:t>
            </w:r>
            <w:r w:rsidR="00260F95">
              <w:rPr>
                <w:rFonts w:ascii="Times New Roman" w:hAnsi="Times New Roman"/>
                <w:sz w:val="28"/>
                <w:szCs w:val="28"/>
              </w:rPr>
              <w:t>20</w:t>
            </w:r>
            <w:r w:rsidR="00150C30" w:rsidRPr="0088117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A6832" w:rsidRPr="00886F4F" w:rsidRDefault="00AA6832" w:rsidP="008633C4">
            <w:pPr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2" w:rsidRPr="00886F4F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32" w:rsidRPr="007D42F0" w:rsidTr="00652D74">
        <w:tc>
          <w:tcPr>
            <w:tcW w:w="15451" w:type="dxa"/>
            <w:gridSpan w:val="4"/>
          </w:tcPr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AA6832" w:rsidRPr="0007444E" w:rsidRDefault="002478FD" w:rsidP="00AA68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E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  <w:r w:rsidR="00AA6832" w:rsidRPr="0007444E">
              <w:rPr>
                <w:rFonts w:ascii="Times New Roman" w:hAnsi="Times New Roman"/>
                <w:sz w:val="28"/>
                <w:szCs w:val="28"/>
              </w:rPr>
              <w:t xml:space="preserve"> целевых </w:t>
            </w:r>
            <w:r w:rsidR="002732E7" w:rsidRPr="0007444E">
              <w:rPr>
                <w:rFonts w:ascii="Times New Roman" w:hAnsi="Times New Roman"/>
                <w:sz w:val="28"/>
                <w:szCs w:val="28"/>
              </w:rPr>
              <w:t xml:space="preserve">показателей (индикаторов) </w:t>
            </w:r>
            <w:r w:rsidR="003D1CFB" w:rsidRPr="0007444E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="0055115C" w:rsidRPr="0007444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252D27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AA6832" w:rsidRPr="00886F4F" w:rsidRDefault="003D1CFB" w:rsidP="00652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444E">
              <w:rPr>
                <w:rFonts w:ascii="Times New Roman" w:hAnsi="Times New Roman"/>
                <w:sz w:val="28"/>
                <w:szCs w:val="28"/>
              </w:rPr>
              <w:t xml:space="preserve">«Управление государственными финансами и развитие </w:t>
            </w:r>
            <w:proofErr w:type="gramStart"/>
            <w:r w:rsidRPr="0007444E">
              <w:rPr>
                <w:rFonts w:ascii="Times New Roman" w:hAnsi="Times New Roman"/>
                <w:sz w:val="28"/>
                <w:szCs w:val="28"/>
              </w:rPr>
              <w:t>межбюджетных</w:t>
            </w:r>
            <w:proofErr w:type="gramEnd"/>
            <w:r w:rsidRPr="0007444E">
              <w:rPr>
                <w:rFonts w:ascii="Times New Roman" w:hAnsi="Times New Roman"/>
                <w:sz w:val="28"/>
                <w:szCs w:val="28"/>
              </w:rPr>
              <w:t xml:space="preserve"> отношений»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 xml:space="preserve"> на 2014</w:t>
            </w:r>
            <w:r w:rsidR="00F128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>20</w:t>
            </w:r>
            <w:r w:rsidR="002037F9">
              <w:rPr>
                <w:rFonts w:ascii="Times New Roman" w:hAnsi="Times New Roman"/>
                <w:sz w:val="28"/>
                <w:szCs w:val="28"/>
              </w:rPr>
              <w:t>20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</w:tc>
      </w:tr>
    </w:tbl>
    <w:p w:rsidR="00652D74" w:rsidRDefault="00652D74"/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710"/>
        <w:gridCol w:w="5103"/>
        <w:gridCol w:w="9638"/>
      </w:tblGrid>
      <w:tr w:rsidR="00125061" w:rsidRPr="00881171" w:rsidTr="00652D74">
        <w:trPr>
          <w:trHeight w:val="562"/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61" w:rsidRPr="00881171" w:rsidRDefault="00125061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61" w:rsidRPr="00F128E8" w:rsidRDefault="00F128E8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90528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="00290528">
              <w:rPr>
                <w:rFonts w:ascii="Times New Roman" w:hAnsi="Times New Roman" w:cs="Times New Roman"/>
                <w:sz w:val="28"/>
                <w:szCs w:val="28"/>
              </w:rPr>
              <w:t xml:space="preserve">   (индикатора)</w:t>
            </w: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61" w:rsidRPr="00881171" w:rsidRDefault="00290528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расчёта целевого</w:t>
            </w:r>
            <w:r w:rsidR="0012506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(индикатора)</w:t>
            </w:r>
          </w:p>
        </w:tc>
      </w:tr>
      <w:tr w:rsidR="00824C9C" w:rsidRPr="00881171" w:rsidTr="00652D74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C9C" w:rsidRPr="00290528" w:rsidRDefault="00824C9C" w:rsidP="00652D74">
            <w:pPr>
              <w:pStyle w:val="aa"/>
              <w:numPr>
                <w:ilvl w:val="0"/>
                <w:numId w:val="5"/>
              </w:num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Наличие бюджетного прогноза Сама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р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ской области на долгосрочный период, И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Наличие нормативного правового акта Самарской области, утверждающего бюджетный прогноз Самарской области на долгосрочный период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24C9C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2F9A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дефицита областного бю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жета к общему годовому объему дох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дов областного бюджета без учета об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ема безвозмездных поступлений, И</w:t>
            </w:r>
            <w:proofErr w:type="gramStart"/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8474DB" w:rsidRPr="00881171" w:rsidRDefault="008474DB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E5011"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proofErr w:type="gramStart"/>
            <w:r w:rsidR="00F128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*100%, </w:t>
            </w:r>
          </w:p>
          <w:p w:rsidR="00C23E25" w:rsidRPr="00881171" w:rsidRDefault="00C058A1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- дефицит областного бюджета; </w:t>
            </w:r>
          </w:p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 - объем доходов областного бюджета без учета объема безвозмездных п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ступлений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ежегодной оценки эффекти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ности предоставляемых (планируемых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к представлению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) налоговых льгот и ст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вок,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90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правового акта Самарской области, регламентиру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щего </w:t>
            </w:r>
            <w:r w:rsidRPr="00881171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оценки эффективности предоставляемых (планируемых к предоставлению)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льгот и ставок</w:t>
            </w:r>
          </w:p>
        </w:tc>
      </w:tr>
      <w:tr w:rsidR="00C23E25" w:rsidRPr="00881171" w:rsidTr="00652D74">
        <w:trPr>
          <w:trHeight w:val="13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объема государственного долга Самарской области</w:t>
            </w:r>
            <w:r w:rsidR="00E333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334D" w:rsidRPr="00E3334D">
              <w:rPr>
                <w:rFonts w:ascii="Times New Roman" w:hAnsi="Times New Roman" w:cs="Times New Roman"/>
                <w:sz w:val="28"/>
                <w:szCs w:val="28"/>
              </w:rPr>
              <w:t>за исключ</w:t>
            </w:r>
            <w:r w:rsidR="00E3334D" w:rsidRPr="00E33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334D" w:rsidRPr="00E3334D">
              <w:rPr>
                <w:rFonts w:ascii="Times New Roman" w:hAnsi="Times New Roman" w:cs="Times New Roman"/>
                <w:sz w:val="28"/>
                <w:szCs w:val="28"/>
              </w:rPr>
              <w:t>нием задолженности по бюджетным кредитам из федерального бюджета)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к доходам областного бюджета без учета утвержденного объёма безвозмездных поступлений, И</w:t>
            </w:r>
            <w:proofErr w:type="gramStart"/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="00F128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1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100%, </w:t>
            </w:r>
          </w:p>
          <w:p w:rsidR="00C23E25" w:rsidRPr="00881171" w:rsidRDefault="00C058A1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ГД - объем государственного долга Самарской области</w:t>
            </w:r>
            <w:r w:rsidR="00E3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34D" w:rsidRPr="00E3334D">
              <w:rPr>
                <w:rFonts w:ascii="Times New Roman" w:hAnsi="Times New Roman" w:cs="Times New Roman"/>
                <w:sz w:val="28"/>
                <w:szCs w:val="28"/>
              </w:rPr>
              <w:t>(за исключением задолженности по бюджетным кредитам из федерального бюджета)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3E25" w:rsidRPr="00881171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 - объем доходов областного бюджета без учета утвержденного объема бе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возмездных поступлений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1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Отношение расходов на обслуживание государственного долга Самарской о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ласти к объему расходов областного бюджета (за исключением объема ра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ходов, которые осуществляются за счет субвенций, предоставляемых из бюдж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тов бюджетной системы Российской Федерации), И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881171" w:rsidRPr="00B55583" w:rsidRDefault="00881171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/ (</w:t>
            </w: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) * 100%, </w:t>
            </w:r>
            <w:proofErr w:type="gramEnd"/>
          </w:p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– расходы на обслуживание государственного долга Самарской о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ласти;</w:t>
            </w:r>
          </w:p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 – общий объем расходов областного бюджета;</w:t>
            </w:r>
          </w:p>
          <w:p w:rsidR="00C23E25" w:rsidRPr="00881171" w:rsidRDefault="00260F95" w:rsidP="00260F9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 – объем расходов областного бюджета,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Отношение суммы платежей на погаш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поступлений, И</w:t>
            </w:r>
            <w:proofErr w:type="gramStart"/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Показатель И</w:t>
            </w:r>
            <w:proofErr w:type="gramStart"/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proofErr w:type="gram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/ Д* 100%, </w:t>
            </w:r>
          </w:p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– сумма платежей по погашению заимствований Самарской области предыдущих лет;</w:t>
            </w:r>
          </w:p>
          <w:p w:rsidR="00260F95" w:rsidRPr="00260F95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60F9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– расходы на обслуживание государственного долга Самарской области;</w:t>
            </w:r>
          </w:p>
          <w:p w:rsidR="00C23E25" w:rsidRPr="00881171" w:rsidRDefault="00260F95" w:rsidP="00260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Д – объем доходов областного бюджета без учета утвержденного объема бе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0F95">
              <w:rPr>
                <w:rFonts w:ascii="Times New Roman" w:hAnsi="Times New Roman" w:cs="Times New Roman"/>
                <w:sz w:val="28"/>
                <w:szCs w:val="28"/>
              </w:rPr>
              <w:t>возмездных поступлений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Долгосрочный кредитный рейтинг 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марской области по международной шкале международных рейтинговых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агенств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proofErr w:type="gramStart"/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290528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пределяется 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еждународными рейтинговыми агентствами </w:t>
            </w:r>
          </w:p>
        </w:tc>
      </w:tr>
      <w:tr w:rsidR="00C23E25" w:rsidRPr="00881171" w:rsidTr="00652D74">
        <w:trPr>
          <w:trHeight w:val="10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2F9A" w:rsidRDefault="00FB34DD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выверки исходных данных для расчета межбюджетных трансфертов на очередной финансовый год в срок до 1 сентября текущего года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  <w:p w:rsidR="00652D74" w:rsidRPr="00881171" w:rsidRDefault="00652D74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Проведена сверка исходных данных для расчета межбюджетных трансфертов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1 сентября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FB34DD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Наличие рассчитанного и доведенного до сведения органов местного сам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управления норматива формирования расходов на содержание органов мес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на очередной ф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нансовый год в срок до 1 октября тек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щего года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proofErr w:type="gramStart"/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proofErr w:type="gramEnd"/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Расчет норматива формирования расходов на содержание органов местного самоуправления на очередной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финансовый год доведен до сведения органов местного самоуправления в срок до 1 октября</w:t>
            </w:r>
            <w:r w:rsidR="00FB34DD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года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Эффективность выравнивания бюдже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ной обеспеченности,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="000C68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уровень расчетной бюджетной обеспеченности пяти на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более обеспеченных муниципальных образований после выравнивания бю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жетной обеспеченности муниципальных образований;</w:t>
            </w:r>
          </w:p>
          <w:p w:rsidR="00C23E25" w:rsidRPr="00881171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- средний уровень расчетной бюджетной обеспеченности пяти наименее обеспеченных муниципальных образований после выравнивания бюджетной обеспеченности муниципальных образований</w:t>
            </w:r>
          </w:p>
          <w:p w:rsidR="00742F9A" w:rsidRPr="00881171" w:rsidRDefault="00742F9A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Отношение просроченной кредиторской задолженности местных бюджетов к расходам местных бюджетов,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.м</w:t>
            </w:r>
            <w:proofErr w:type="gram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100%, </w:t>
            </w:r>
          </w:p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.м</w:t>
            </w:r>
            <w:proofErr w:type="gram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объем просроченной кредиторской задолженности местных бю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жетов;</w:t>
            </w:r>
          </w:p>
          <w:p w:rsidR="00C23E25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объем расходов местных бюджетов</w:t>
            </w:r>
          </w:p>
          <w:p w:rsidR="007D4839" w:rsidRDefault="007D4839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28" w:rsidRPr="00B55583" w:rsidRDefault="00290528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Среднее отношение дефицита местных бюджетов к доходам местных бюдж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тов,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фмб</w:t>
            </w:r>
            <w:proofErr w:type="spellEnd"/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фмб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средний объем дефицита местных бюджетов;</w:t>
            </w:r>
          </w:p>
          <w:p w:rsidR="00742F9A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средний объем доходов местных бюджетов</w:t>
            </w:r>
          </w:p>
          <w:p w:rsidR="009D15D9" w:rsidRPr="00881171" w:rsidRDefault="009D15D9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расходов местных бюджетов, формируемых в рамках муниципальных программ,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мб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объем расходов местных бюджетов;</w:t>
            </w:r>
          </w:p>
          <w:p w:rsidR="00C23E25" w:rsidRPr="00881171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spellEnd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объем расходов местных бюджетов, формируемых в рамках муниц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пальных программ</w:t>
            </w:r>
          </w:p>
          <w:p w:rsidR="00742F9A" w:rsidRPr="00881171" w:rsidRDefault="00742F9A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расходов местных бюджетов на содержание органов местного сам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управления (без учета целевых средств, за исключением стимулирующих су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сидий) в общем объеме расходов (без учета целевых средств, за исключением стимулирующих субсидий),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="00C058A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="000C68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объем расходов местных бюджетов на содержание органов местн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го самоуправления (без учета целевых средств, за исключением стимул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рующих субсидий);</w:t>
            </w:r>
          </w:p>
          <w:p w:rsidR="00C23E25" w:rsidRPr="00881171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EF32B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общий объем расходов местных бюджетов (без учета целевых средств, за исключением стимулирующих субсидий)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213E6D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Внесение проекта областного бюджета на очередной финансовый год и план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вый период в законодательный орган Самарской области в установленный срок</w:t>
            </w:r>
            <w:r w:rsidR="00C23E25" w:rsidRPr="0088117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23E25" w:rsidRPr="000C685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Внесение проекта областного бюджета</w:t>
            </w:r>
            <w:r w:rsidR="007E4CC5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</w:t>
            </w:r>
            <w:r w:rsidR="007E4CC5"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4CC5" w:rsidRPr="00881171">
              <w:rPr>
                <w:rFonts w:ascii="Times New Roman" w:hAnsi="Times New Roman" w:cs="Times New Roman"/>
                <w:sz w:val="28"/>
                <w:szCs w:val="28"/>
              </w:rPr>
              <w:t>новый период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законодательный орган Самарской области в установленный срок</w:t>
            </w:r>
          </w:p>
        </w:tc>
      </w:tr>
      <w:tr w:rsidR="00824C9C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881171" w:rsidRDefault="00824C9C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Доля бюджетных обязательств по пр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доставлению субсидий на осуществл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ние капитальных вложений в объекты капитального строительства государс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венной собственности и приобретение объектов недвижимого имущества в г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сударственную собственность (далее – субсидии на кап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итальные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вложения), оплата которых осуществлена после п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становки их на учет,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п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лаченных бюджетных обязательств по предоставлению субсидий на кап</w:t>
            </w:r>
            <w:r>
              <w:rPr>
                <w:rFonts w:ascii="Times New Roman" w:hAnsi="Times New Roman"/>
                <w:sz w:val="28"/>
                <w:szCs w:val="28"/>
              </w:rPr>
              <w:t>итал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вложения,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824C9C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824C9C" w:rsidRPr="00236B01" w:rsidRDefault="00824C9C" w:rsidP="00824C9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(И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16.1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16.2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824C9C" w:rsidRPr="00236B01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16.1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– объем бюджетных обязательств по предоставлению субсидий на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кап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итальные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вложения, оплаченных после постановки их на учет; </w:t>
            </w:r>
          </w:p>
          <w:p w:rsidR="00824C9C" w:rsidRPr="00236B01" w:rsidRDefault="00824C9C" w:rsidP="00FD3E5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16.2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общий объем оплаченных бюджетных обязательств по предоставлению субсидий на кап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итальные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вложения</w:t>
            </w:r>
          </w:p>
        </w:tc>
      </w:tr>
      <w:tr w:rsidR="00824C9C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881171" w:rsidRDefault="00824C9C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Доля обязательств, источником фина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сового обеспечения которых являются субсидии на кап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итальные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вложения, 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ы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текающих из договоров на поставку 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варов, выполнение работ, оказание у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луг, заключенных на сумму, прев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ы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шающую установленный Центральным банком Российской Федерации пр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дельный размер расчетов наличными деньгами в Российской Федерации ме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ж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ду юридическими лицами по одной сделке (далее – договорные обязател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ь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ства капитального характера), оплата которых осуществлена после постано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ки их на учет,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оплаче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ных договорных обязательств капитал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ь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ного характера,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824C9C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6128A2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824C9C" w:rsidRPr="00236B01" w:rsidRDefault="00824C9C" w:rsidP="00824C9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(И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17.1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>17.2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824C9C" w:rsidRPr="00236B01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17.1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объем договорных обязательств капитального характера, оплаче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ных после постановки их на учет;</w:t>
            </w:r>
          </w:p>
          <w:p w:rsidR="00824C9C" w:rsidRPr="00236B01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17.2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общий объем оплаченных договорных обязательств капитального х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рактера</w:t>
            </w:r>
          </w:p>
        </w:tc>
      </w:tr>
      <w:tr w:rsidR="00824C9C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881171" w:rsidRDefault="00824C9C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Доля получателей средств областного бюджета, переведенных на безналичное денежное обращение,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общем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колич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получателей средств областного бюджета,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824C9C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824C9C" w:rsidRPr="00236B01" w:rsidRDefault="00824C9C" w:rsidP="00824C9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18.2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824C9C" w:rsidRPr="00236B01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где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количество получателей средств областного бюджета, переведенное на безналичное денежное обращение;</w:t>
            </w:r>
          </w:p>
          <w:p w:rsidR="00824C9C" w:rsidRPr="00236B01" w:rsidRDefault="00824C9C" w:rsidP="00FD3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18.2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общее количество получателей средств областного бюджета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Доля консолидированных бюджетных, сводных бухгалтерских отчётов, пре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ставленных в Федеральное казначейс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во, от общего количества регламентир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ванных консолидированных бюдже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ных, сводных бухгалтерских отчётов субъекта Российской Федерации, по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лежащих представлению в Федеральное казначейство,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</w:p>
          <w:p w:rsidR="00742F9A" w:rsidRPr="00881171" w:rsidRDefault="00742F9A" w:rsidP="007D4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214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5D9"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15D9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C058A1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="007D48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</w:p>
          <w:p w:rsidR="00C23E25" w:rsidRPr="00881171" w:rsidRDefault="00C23E25" w:rsidP="000C1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количество консолидированных бюджетных, сводных бухгалте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ских отчётов, представленных в Федеральное казначейство;</w:t>
            </w:r>
          </w:p>
          <w:p w:rsidR="00C23E25" w:rsidRPr="00881171" w:rsidRDefault="00C23E25" w:rsidP="000C1F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156E85"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9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8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регламентированных консолидированных бюдже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ных, сводных бухгалтерских отчётов субъекта Российской Федерации, по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лежащих представлению в Федеральное казначейство</w:t>
            </w:r>
          </w:p>
        </w:tc>
      </w:tr>
      <w:tr w:rsidR="00824C9C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881171" w:rsidRDefault="00824C9C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Доля выплат по погашению и обслуж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ванию долговых обязательств Сама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р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ской области за отчетный период, ос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у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ществленных в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с устано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ленными сроками,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объем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ы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плат по погашению и обслуживанию долговых обязательств Самарской 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б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ласти за отчетный период,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824C9C" w:rsidRDefault="00824C9C" w:rsidP="00FD3E56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824C9C" w:rsidRPr="00236B01" w:rsidRDefault="00824C9C" w:rsidP="00824C9C">
            <w:pPr>
              <w:autoSpaceDE w:val="0"/>
              <w:autoSpaceDN w:val="0"/>
              <w:adjustRightInd w:val="0"/>
              <w:spacing w:before="120" w:after="120" w:line="283" w:lineRule="auto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20.1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20.2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824C9C" w:rsidRPr="00236B01" w:rsidRDefault="00824C9C" w:rsidP="00FD3E56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20.1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объем выплат по погашению и обслуживанию долговых обяз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тельств Самарской области за отчетный период, осуществленных в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соответс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вии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с установленными сроками;</w:t>
            </w:r>
          </w:p>
          <w:p w:rsidR="00824C9C" w:rsidRPr="00236B01" w:rsidRDefault="00824C9C" w:rsidP="00FD3E56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236F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20.2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общий объем выплат по погашению и обслуживанию долговых обяз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тельств Самарской области, за отчетный период</w:t>
            </w:r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2F9A" w:rsidRPr="00286656" w:rsidRDefault="00260F95" w:rsidP="007D48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программного продукта, обе</w:t>
            </w: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печивающего автоматизацию процесса закупок в </w:t>
            </w:r>
            <w:proofErr w:type="gramStart"/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министерстве</w:t>
            </w:r>
            <w:proofErr w:type="gramEnd"/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управления ф</w:t>
            </w: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нансами Самарской области (далее – м</w:t>
            </w: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нистерство), И</w:t>
            </w: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286656" w:rsidRDefault="00260F95" w:rsidP="000C1F5C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Наличие программного продукта, обеспечивающего автоматизацию процесса закупок в </w:t>
            </w:r>
            <w:proofErr w:type="gramStart"/>
            <w:r w:rsidRPr="00260F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министерстве</w:t>
            </w:r>
            <w:proofErr w:type="gramEnd"/>
          </w:p>
        </w:tc>
      </w:tr>
      <w:tr w:rsidR="00824C9C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881171" w:rsidRDefault="00824C9C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Наличие утвержденной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методики оце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ки качества финансового менеджмента главных распорядителей средств обл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стного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бюджета,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824C9C" w:rsidRPr="00236B01" w:rsidRDefault="00824C9C" w:rsidP="00FD3E56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нормативного правового акта Самарской области, утверждающего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методику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оценки качества финансового менеджмента главных распорядит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лей средств областного бюджета</w:t>
            </w:r>
            <w:proofErr w:type="gramEnd"/>
          </w:p>
        </w:tc>
      </w:tr>
      <w:tr w:rsidR="00C23E25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881171" w:rsidRDefault="00C23E25" w:rsidP="002A5D3E">
            <w:pPr>
              <w:pStyle w:val="a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E25" w:rsidRPr="00286656" w:rsidRDefault="00C23E25" w:rsidP="007D48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Отношение объема просроченной кред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торской задолженности областного бю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жета к </w:t>
            </w:r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общему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объему расходов облас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бюджета,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 w:rsidR="00E810A0"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3</w:t>
            </w:r>
          </w:p>
          <w:p w:rsidR="00742F9A" w:rsidRPr="00286656" w:rsidRDefault="00742F9A" w:rsidP="007D4839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290528" w:rsidRDefault="00290528" w:rsidP="00290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214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4F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2144F6"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C058A1" w:rsidRPr="00286656" w:rsidRDefault="00C23E25" w:rsidP="000C1F5C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 w:rsidR="00E810A0"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3</w:t>
            </w:r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=</w:t>
            </w:r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пр</w:t>
            </w:r>
            <w:proofErr w:type="spellEnd"/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proofErr w:type="gramEnd"/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*</w:t>
            </w:r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100%, </w:t>
            </w:r>
          </w:p>
          <w:p w:rsidR="00C23E25" w:rsidRPr="00286656" w:rsidRDefault="00C23E25" w:rsidP="000C1F5C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где</w:t>
            </w:r>
            <w:r w:rsidR="00C058A1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пр</w:t>
            </w:r>
            <w:proofErr w:type="spellEnd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 </w:t>
            </w:r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объем просроченной кредиторской задолженности областного бюдж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та;</w:t>
            </w:r>
          </w:p>
          <w:p w:rsidR="00C23E25" w:rsidRDefault="00C23E25" w:rsidP="000C685D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proofErr w:type="gramEnd"/>
            <w:r w:rsidR="00286656"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C68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C68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общий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объем расходов областного бюджета</w:t>
            </w:r>
          </w:p>
          <w:p w:rsidR="009D15D9" w:rsidRPr="00286656" w:rsidRDefault="009D15D9" w:rsidP="000C685D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A226D" w:rsidRPr="00881171" w:rsidTr="00652D74">
        <w:trPr>
          <w:trHeight w:val="140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877235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полноты опубликования бюджетных нормативных правовых 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тов и отчётов об исполнении областного бюджета,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количество опубликованных бюджетных нормативных правовых 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тов и отчетов об исполнении областного бюджета;</w:t>
            </w:r>
          </w:p>
          <w:p w:rsidR="001A226D" w:rsidRPr="00881171" w:rsidRDefault="001A226D" w:rsidP="007920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количество бюджетных нормативных правовых актов и отчетов об 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полнении областного бюджета</w:t>
            </w:r>
          </w:p>
          <w:p w:rsidR="001A226D" w:rsidRPr="00881171" w:rsidRDefault="001A226D" w:rsidP="007920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877235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эффициент доступности сервисов 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диного портала государственной и м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ниципальной бюджетной системы 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гиона,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эффициент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2866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и используемых сервисов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диного по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государственной и муниципальной бюджетной системы региона;</w:t>
            </w:r>
          </w:p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сервисов 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диного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государственной и мун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ципальной бюджетной системы региона, предусмотренных техническим з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данием</w:t>
            </w:r>
          </w:p>
          <w:p w:rsidR="001A226D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6D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877235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продуктивности пр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Pr="00881171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  <w:p w:rsidR="001A226D" w:rsidRPr="00A3669B" w:rsidRDefault="001A226D" w:rsidP="007920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 работы 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системы управления консолидирова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н</w:t>
            </w:r>
            <w:r w:rsidRPr="009C79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ным бюджетом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часов);</w:t>
            </w:r>
          </w:p>
          <w:p w:rsidR="001A226D" w:rsidRPr="00881171" w:rsidRDefault="001A226D" w:rsidP="007920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продолжительн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работы системы 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управления консолидир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о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 xml:space="preserve">ванным бюджетом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  <w:p w:rsidR="001A226D" w:rsidRPr="00881171" w:rsidRDefault="001A226D" w:rsidP="007920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877235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286656" w:rsidRDefault="001A226D" w:rsidP="0079209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Коэффициент применения системы бю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жетного планирования на базе web-технологий сотрудниками главных ра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порядителей средств областного бюдж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та,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Pr="00286656" w:rsidRDefault="001A226D" w:rsidP="0079209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=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.1</w:t>
            </w:r>
            <w:proofErr w:type="gramStart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/И</w:t>
            </w:r>
            <w:proofErr w:type="gramEnd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.2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100%, </w:t>
            </w:r>
          </w:p>
          <w:p w:rsidR="001A226D" w:rsidRPr="00286656" w:rsidRDefault="001A226D" w:rsidP="0079209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.1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количество </w:t>
            </w:r>
            <w:r w:rsidRPr="00286656">
              <w:rPr>
                <w:rFonts w:ascii="Times New Roman" w:hAnsi="Times New Roman"/>
                <w:spacing w:val="-4"/>
                <w:sz w:val="28"/>
                <w:szCs w:val="28"/>
              </w:rPr>
              <w:t>главных распорядителей средств областного бюджета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ботающих в </w:t>
            </w:r>
            <w:r w:rsidRPr="00286656">
              <w:rPr>
                <w:rFonts w:ascii="Times New Roman" w:hAnsi="Times New Roman"/>
                <w:spacing w:val="-4"/>
                <w:sz w:val="28"/>
                <w:szCs w:val="28"/>
              </w:rPr>
              <w:t>системе бюджетного планирования на базе web-технологий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1A226D" w:rsidRDefault="001A226D" w:rsidP="00792097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.2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общее количества </w:t>
            </w:r>
            <w:r w:rsidRPr="00286656">
              <w:rPr>
                <w:rFonts w:ascii="Times New Roman" w:hAnsi="Times New Roman"/>
                <w:spacing w:val="-4"/>
                <w:sz w:val="28"/>
                <w:szCs w:val="28"/>
              </w:rPr>
              <w:t>главных распорядителей средств областного бюджета</w:t>
            </w:r>
          </w:p>
          <w:p w:rsidR="001A226D" w:rsidRPr="00286656" w:rsidRDefault="001A226D" w:rsidP="00792097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236B01" w:rsidRDefault="001A226D" w:rsidP="00792097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Отношение объема проверенных средств областного бюджета к общему объему расходов областного бюджета,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8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spacing w:before="120" w:after="120" w:line="283" w:lineRule="auto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объём проверенных средств областного бюджета;</w:t>
            </w:r>
          </w:p>
          <w:p w:rsidR="001A226D" w:rsidRDefault="001A226D" w:rsidP="00792097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– объём расходов областного бюджета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236B01" w:rsidRDefault="001A226D" w:rsidP="00792097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Отношение объёма установленных ф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нансовых нарушений к объёму выя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ленных службой государственного ф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нансового контроля Самарской области (далее –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Госфинконтроль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Самарской области) финансовых нарушений, 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BC0043"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Default="001A226D" w:rsidP="00792097">
            <w:pPr>
              <w:autoSpaceDE w:val="0"/>
              <w:autoSpaceDN w:val="0"/>
              <w:adjustRightInd w:val="0"/>
              <w:spacing w:before="120" w:after="120" w:line="283" w:lineRule="auto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х 100%, 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.1</w:t>
            </w:r>
            <w:r w:rsidRPr="0022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объём установленных службой государственного финансового ко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троля Самарской области финансовых нарушений;</w:t>
            </w:r>
          </w:p>
          <w:p w:rsidR="001A226D" w:rsidRPr="000A47C4" w:rsidRDefault="001A226D" w:rsidP="00792097">
            <w:pPr>
              <w:widowControl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объём выявленных Госфинконтролем Самарской области финансовых нарушений</w:t>
            </w: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E97CD3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Отношение количества предложений по итогам контрольных мероприятий, пр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ведённых в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рамках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осуществления п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следующего контроля, к общему числу завершённых в рамках осуществления 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последующего контроля контрольных мероприятий (в расчёте на одно ко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трольное мероприятие),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100%, 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количество предложений по итогам завершенных контрольных м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роприятий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Госфинконтроля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Самарской области, проведённых в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у</w:t>
            </w: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ществления последующего контроля;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– количество завершенных контрольных мероприятий в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осущес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вления Госфинконтролем Самарской области последующего контроля</w:t>
            </w: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E97CD3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Доля подготовленных проектов норм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тивных правовых актов и изменений в действующие нормативные правовые акты Самарской области в сфере осущ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ствления внутреннего государственного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общем колич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запланированных или необход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мых к принятию соответствующих 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к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тов и изменений,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1A226D" w:rsidRDefault="001A226D" w:rsidP="0079209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х 100%, 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фактическое количество подготовленных проектов нормативных правовых актов и изменений в действующие нормативные правовые акты 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марской области в сфере осуществления внутреннего государственного ф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нансового контроля;</w:t>
            </w:r>
          </w:p>
          <w:p w:rsidR="001A226D" w:rsidRPr="00236B01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количество запланированных или необходимых к принятию соответс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вующих актов и изменений</w:t>
            </w: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E97CD3" w:rsidRDefault="001A226D" w:rsidP="001A22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552916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 xml:space="preserve">Доля рассмотренных проектов правовых актов, связанных с формированием и исполнением областного бюджета, по итогам </w:t>
            </w:r>
            <w:proofErr w:type="gramStart"/>
            <w:r w:rsidRPr="00552916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proofErr w:type="gram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которых Госфи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н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контролем Самарской области подг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товлены рекомендации по снижению возможных рисков реализации прое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к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, в общем объеме рассмотренных проектов,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Default="001A226D" w:rsidP="007920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1A226D" w:rsidRDefault="001A226D" w:rsidP="00792097">
            <w:pPr>
              <w:widowControl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 =И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/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proofErr w:type="spellStart"/>
            <w:r w:rsidRPr="00552916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1A226D" w:rsidRPr="00552916" w:rsidRDefault="001A226D" w:rsidP="007920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– количество проектов правовых актов, связанных с формированием и исполнением областного бюджета, по которым подготовлены заключения </w:t>
            </w:r>
            <w:proofErr w:type="spellStart"/>
            <w:r w:rsidRPr="00552916">
              <w:rPr>
                <w:rFonts w:ascii="Times New Roman" w:hAnsi="Times New Roman"/>
                <w:sz w:val="28"/>
                <w:szCs w:val="28"/>
              </w:rPr>
              <w:t>Госфинконтроля</w:t>
            </w:r>
            <w:proofErr w:type="spell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Самарской области по итогам обследования, содержащие рекомендации по снижению возможных рисков реализации проектов;</w:t>
            </w:r>
          </w:p>
          <w:p w:rsidR="001A226D" w:rsidRPr="00745085" w:rsidRDefault="001A226D" w:rsidP="007920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– количество проектов правовых актов, связанных с формированием и исполнением областного бюджета, по которым подготовлены заключения </w:t>
            </w:r>
            <w:proofErr w:type="spellStart"/>
            <w:r w:rsidRPr="00552916">
              <w:rPr>
                <w:rFonts w:ascii="Times New Roman" w:hAnsi="Times New Roman"/>
                <w:sz w:val="28"/>
                <w:szCs w:val="28"/>
              </w:rPr>
              <w:t>Госфинконтроля</w:t>
            </w:r>
            <w:proofErr w:type="spell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Самарской области по итогам обследования</w:t>
            </w:r>
          </w:p>
          <w:p w:rsidR="001A226D" w:rsidRPr="00745085" w:rsidRDefault="001A226D" w:rsidP="007920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26D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607F2F" w:rsidRDefault="00607F2F" w:rsidP="001A2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552916" w:rsidRDefault="001A226D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226D" w:rsidRPr="00552916" w:rsidRDefault="001A226D" w:rsidP="007920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F2F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607F2F" w:rsidRDefault="00607F2F" w:rsidP="001A2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552916" w:rsidRDefault="00607F2F" w:rsidP="00792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552916" w:rsidRDefault="00607F2F" w:rsidP="0079209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F2F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607F2F" w:rsidRDefault="00607F2F" w:rsidP="001A2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0F346F" w:rsidRDefault="00607F2F" w:rsidP="00387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46F">
              <w:rPr>
                <w:rFonts w:ascii="Times New Roman" w:hAnsi="Times New Roman"/>
                <w:bCs/>
                <w:sz w:val="28"/>
                <w:szCs w:val="28"/>
              </w:rPr>
              <w:t xml:space="preserve">Доля рассмотренных актов проверок, проведенных органами исполнительной </w:t>
            </w:r>
            <w:r w:rsidRPr="000F346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власти Самарской области в рамках внутреннего финансового контроля и внутреннего финансового аудита, 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в о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б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 xml:space="preserve">щем объеме </w:t>
            </w:r>
            <w:r w:rsidRPr="000F346F">
              <w:rPr>
                <w:rFonts w:ascii="Times New Roman" w:hAnsi="Times New Roman"/>
                <w:bCs/>
                <w:sz w:val="28"/>
                <w:szCs w:val="28"/>
              </w:rPr>
              <w:t>поступивших на рассмо</w:t>
            </w:r>
            <w:r w:rsidRPr="000F346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0F346F">
              <w:rPr>
                <w:rFonts w:ascii="Times New Roman" w:hAnsi="Times New Roman"/>
                <w:bCs/>
                <w:sz w:val="28"/>
                <w:szCs w:val="28"/>
              </w:rPr>
              <w:t>рение указанных документов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0F346F" w:rsidRDefault="00607F2F" w:rsidP="003873D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46F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0F346F">
              <w:rPr>
                <w:rFonts w:ascii="Times New Roman" w:hAnsi="Times New Roman"/>
                <w:sz w:val="28"/>
                <w:szCs w:val="28"/>
                <w:vertAlign w:val="subscript"/>
              </w:rPr>
              <w:t>34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=АП</w:t>
            </w:r>
            <w:r w:rsidRPr="000F346F">
              <w:rPr>
                <w:rFonts w:ascii="Times New Roman" w:hAnsi="Times New Roman"/>
              </w:rPr>
              <w:t>рас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/АП</w:t>
            </w:r>
            <w:r w:rsidRPr="000F346F">
              <w:rPr>
                <w:rFonts w:ascii="Times New Roman" w:hAnsi="Times New Roman"/>
              </w:rPr>
              <w:t>пос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×100%,</w:t>
            </w:r>
          </w:p>
          <w:p w:rsidR="00607F2F" w:rsidRPr="000F346F" w:rsidRDefault="00607F2F" w:rsidP="003873D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46F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0F346F">
              <w:rPr>
                <w:rFonts w:ascii="Times New Roman" w:hAnsi="Times New Roman"/>
                <w:sz w:val="28"/>
                <w:szCs w:val="28"/>
              </w:rPr>
              <w:t>АП</w:t>
            </w:r>
            <w:r w:rsidRPr="000F346F">
              <w:rPr>
                <w:rFonts w:ascii="Times New Roman" w:hAnsi="Times New Roman"/>
              </w:rPr>
              <w:t>рас</w:t>
            </w:r>
            <w:proofErr w:type="spellEnd"/>
            <w:r w:rsidRPr="000F346F">
              <w:rPr>
                <w:rFonts w:ascii="Times New Roman" w:hAnsi="Times New Roman"/>
                <w:sz w:val="28"/>
                <w:szCs w:val="28"/>
              </w:rPr>
              <w:t xml:space="preserve"> – количество рассмотренных актов проверок, проведенных орган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F346F">
              <w:rPr>
                <w:rFonts w:ascii="Times New Roman" w:hAnsi="Times New Roman"/>
                <w:sz w:val="28"/>
                <w:szCs w:val="28"/>
              </w:rPr>
              <w:lastRenderedPageBreak/>
              <w:t>ми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7F2F" w:rsidRPr="000F346F" w:rsidRDefault="00607F2F" w:rsidP="003873D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46F">
              <w:rPr>
                <w:rFonts w:ascii="Times New Roman" w:hAnsi="Times New Roman"/>
                <w:sz w:val="28"/>
                <w:szCs w:val="28"/>
              </w:rPr>
              <w:t>АП</w:t>
            </w:r>
            <w:r w:rsidRPr="000F346F">
              <w:rPr>
                <w:rFonts w:ascii="Times New Roman" w:hAnsi="Times New Roman"/>
              </w:rPr>
              <w:t>пос</w:t>
            </w:r>
            <w:proofErr w:type="spellEnd"/>
            <w:r w:rsidRPr="000F346F">
              <w:rPr>
                <w:rFonts w:ascii="Times New Roman" w:hAnsi="Times New Roman"/>
              </w:rPr>
              <w:t xml:space="preserve"> 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– количество поступивших на рассмотрение актов проверок, проведе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н</w:t>
            </w:r>
            <w:r w:rsidRPr="000F346F">
              <w:rPr>
                <w:rFonts w:ascii="Times New Roman" w:hAnsi="Times New Roman"/>
                <w:sz w:val="28"/>
                <w:szCs w:val="28"/>
              </w:rPr>
              <w:t>ных органами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07F2F" w:rsidRPr="00881171" w:rsidTr="00652D7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607F2F" w:rsidRDefault="00607F2F" w:rsidP="001A2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787D89" w:rsidRDefault="00607F2F" w:rsidP="00387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налитической записки</w:t>
            </w:r>
            <w:r w:rsidRPr="00787D89">
              <w:rPr>
                <w:rFonts w:ascii="Times New Roman" w:hAnsi="Times New Roman"/>
                <w:bCs/>
                <w:sz w:val="28"/>
                <w:szCs w:val="28"/>
              </w:rPr>
              <w:t xml:space="preserve"> по ит</w:t>
            </w:r>
            <w:r w:rsidRPr="00787D8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87D89">
              <w:rPr>
                <w:rFonts w:ascii="Times New Roman" w:hAnsi="Times New Roman"/>
                <w:bCs/>
                <w:sz w:val="28"/>
                <w:szCs w:val="28"/>
              </w:rPr>
              <w:t>гам проведения анализа осуществления внутреннего финансового контроля и вну</w:t>
            </w:r>
            <w:r w:rsidRPr="00787D89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787D89">
              <w:rPr>
                <w:rFonts w:ascii="Times New Roman" w:hAnsi="Times New Roman"/>
                <w:bCs/>
                <w:sz w:val="28"/>
                <w:szCs w:val="28"/>
              </w:rPr>
              <w:t>реннего финансового аудита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07F2F" w:rsidRPr="00787D89" w:rsidRDefault="00607F2F" w:rsidP="00387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D89">
              <w:rPr>
                <w:rFonts w:ascii="Times New Roman" w:hAnsi="Times New Roman"/>
                <w:sz w:val="28"/>
                <w:szCs w:val="28"/>
              </w:rPr>
              <w:t>Подготовка аналитической записки по итогам проведения анализа осущест</w:t>
            </w:r>
            <w:r w:rsidRPr="00787D89">
              <w:rPr>
                <w:rFonts w:ascii="Times New Roman" w:hAnsi="Times New Roman"/>
                <w:sz w:val="28"/>
                <w:szCs w:val="28"/>
              </w:rPr>
              <w:t>в</w:t>
            </w:r>
            <w:r w:rsidRPr="00787D89">
              <w:rPr>
                <w:rFonts w:ascii="Times New Roman" w:hAnsi="Times New Roman"/>
                <w:sz w:val="28"/>
                <w:szCs w:val="28"/>
              </w:rPr>
              <w:t>ления внутреннего финансового контроля и внутреннего финансового аудита</w:t>
            </w:r>
          </w:p>
        </w:tc>
      </w:tr>
    </w:tbl>
    <w:p w:rsidR="002F7712" w:rsidRPr="00881171" w:rsidRDefault="002F7712" w:rsidP="00C058A1">
      <w:pPr>
        <w:rPr>
          <w:sz w:val="28"/>
          <w:szCs w:val="28"/>
        </w:rPr>
      </w:pPr>
    </w:p>
    <w:sectPr w:rsidR="002F7712" w:rsidRPr="00881171" w:rsidSect="00881171">
      <w:headerReference w:type="default" r:id="rId8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56" w:rsidRDefault="00286656" w:rsidP="00AA6832">
      <w:pPr>
        <w:spacing w:after="0" w:line="240" w:lineRule="auto"/>
      </w:pPr>
      <w:r>
        <w:separator/>
      </w:r>
    </w:p>
  </w:endnote>
  <w:endnote w:type="continuationSeparator" w:id="0">
    <w:p w:rsidR="00286656" w:rsidRDefault="00286656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56" w:rsidRDefault="00286656" w:rsidP="00AA6832">
      <w:pPr>
        <w:spacing w:after="0" w:line="240" w:lineRule="auto"/>
      </w:pPr>
      <w:r>
        <w:separator/>
      </w:r>
    </w:p>
  </w:footnote>
  <w:footnote w:type="continuationSeparator" w:id="0">
    <w:p w:rsidR="00286656" w:rsidRDefault="00286656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286656" w:rsidRDefault="003A2E7E">
        <w:pPr>
          <w:pStyle w:val="a4"/>
          <w:jc w:val="center"/>
        </w:pPr>
        <w:r>
          <w:fldChar w:fldCharType="begin"/>
        </w:r>
        <w:r w:rsidR="00286656">
          <w:instrText xml:space="preserve"> PAGE   \* MERGEFORMAT </w:instrText>
        </w:r>
        <w:r>
          <w:fldChar w:fldCharType="separate"/>
        </w:r>
        <w:r w:rsidR="00607F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86656" w:rsidRDefault="002866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14E1"/>
    <w:rsid w:val="00013201"/>
    <w:rsid w:val="00013F81"/>
    <w:rsid w:val="00014F48"/>
    <w:rsid w:val="00016C4B"/>
    <w:rsid w:val="000173F4"/>
    <w:rsid w:val="000206B1"/>
    <w:rsid w:val="000236C6"/>
    <w:rsid w:val="0002394B"/>
    <w:rsid w:val="00026102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59C4"/>
    <w:rsid w:val="000577B6"/>
    <w:rsid w:val="00064532"/>
    <w:rsid w:val="000701C3"/>
    <w:rsid w:val="0007444E"/>
    <w:rsid w:val="000806BA"/>
    <w:rsid w:val="00084116"/>
    <w:rsid w:val="000846A8"/>
    <w:rsid w:val="00084BBF"/>
    <w:rsid w:val="00090A68"/>
    <w:rsid w:val="00090F94"/>
    <w:rsid w:val="000911F8"/>
    <w:rsid w:val="00092CF5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C1F5C"/>
    <w:rsid w:val="000C4442"/>
    <w:rsid w:val="000C62A1"/>
    <w:rsid w:val="000C685D"/>
    <w:rsid w:val="000C6918"/>
    <w:rsid w:val="000C6F92"/>
    <w:rsid w:val="000C776B"/>
    <w:rsid w:val="000D0835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1381"/>
    <w:rsid w:val="00141D30"/>
    <w:rsid w:val="00142E97"/>
    <w:rsid w:val="00144568"/>
    <w:rsid w:val="0014562A"/>
    <w:rsid w:val="00150C30"/>
    <w:rsid w:val="00152496"/>
    <w:rsid w:val="00154AD3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226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505D"/>
    <w:rsid w:val="001D5078"/>
    <w:rsid w:val="001D6996"/>
    <w:rsid w:val="001D7FB1"/>
    <w:rsid w:val="001E4EA9"/>
    <w:rsid w:val="001E53FB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37F9"/>
    <w:rsid w:val="00207BA8"/>
    <w:rsid w:val="0021254F"/>
    <w:rsid w:val="00213E6D"/>
    <w:rsid w:val="00214184"/>
    <w:rsid w:val="00214195"/>
    <w:rsid w:val="002144F6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48E"/>
    <w:rsid w:val="00281727"/>
    <w:rsid w:val="0028468C"/>
    <w:rsid w:val="00285624"/>
    <w:rsid w:val="00286656"/>
    <w:rsid w:val="00290528"/>
    <w:rsid w:val="00292158"/>
    <w:rsid w:val="00295DA0"/>
    <w:rsid w:val="00297027"/>
    <w:rsid w:val="002972EB"/>
    <w:rsid w:val="002A5D3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FC6"/>
    <w:rsid w:val="00353502"/>
    <w:rsid w:val="003556A8"/>
    <w:rsid w:val="003605CB"/>
    <w:rsid w:val="00360F80"/>
    <w:rsid w:val="00362842"/>
    <w:rsid w:val="00363E97"/>
    <w:rsid w:val="00366722"/>
    <w:rsid w:val="00371256"/>
    <w:rsid w:val="00372083"/>
    <w:rsid w:val="00374E94"/>
    <w:rsid w:val="00382828"/>
    <w:rsid w:val="00385A00"/>
    <w:rsid w:val="00386809"/>
    <w:rsid w:val="003920C8"/>
    <w:rsid w:val="00393240"/>
    <w:rsid w:val="00393D03"/>
    <w:rsid w:val="00397970"/>
    <w:rsid w:val="003A1ABA"/>
    <w:rsid w:val="003A1BE5"/>
    <w:rsid w:val="003A2E7E"/>
    <w:rsid w:val="003A4460"/>
    <w:rsid w:val="003A4A22"/>
    <w:rsid w:val="003A7277"/>
    <w:rsid w:val="003A73CC"/>
    <w:rsid w:val="003B2A4E"/>
    <w:rsid w:val="003B62EB"/>
    <w:rsid w:val="003B66E0"/>
    <w:rsid w:val="003B6E70"/>
    <w:rsid w:val="003D13F6"/>
    <w:rsid w:val="003D1CFB"/>
    <w:rsid w:val="003D1E7F"/>
    <w:rsid w:val="003D5F78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6D46"/>
    <w:rsid w:val="003F7F54"/>
    <w:rsid w:val="004022AA"/>
    <w:rsid w:val="004034E3"/>
    <w:rsid w:val="0040455F"/>
    <w:rsid w:val="00405476"/>
    <w:rsid w:val="00406066"/>
    <w:rsid w:val="00412ACE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A23D1"/>
    <w:rsid w:val="004A2FAD"/>
    <w:rsid w:val="004A42B7"/>
    <w:rsid w:val="004A725E"/>
    <w:rsid w:val="004A76CA"/>
    <w:rsid w:val="004B0A91"/>
    <w:rsid w:val="004B0C10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F0672"/>
    <w:rsid w:val="004F192C"/>
    <w:rsid w:val="004F2332"/>
    <w:rsid w:val="004F6A9A"/>
    <w:rsid w:val="004F727C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B8B"/>
    <w:rsid w:val="0055115C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91E"/>
    <w:rsid w:val="00575C96"/>
    <w:rsid w:val="0057626B"/>
    <w:rsid w:val="00576529"/>
    <w:rsid w:val="00577228"/>
    <w:rsid w:val="0058036B"/>
    <w:rsid w:val="005835BB"/>
    <w:rsid w:val="00584295"/>
    <w:rsid w:val="005864DC"/>
    <w:rsid w:val="00586ABB"/>
    <w:rsid w:val="00592F62"/>
    <w:rsid w:val="005933A9"/>
    <w:rsid w:val="0059708E"/>
    <w:rsid w:val="005A07C9"/>
    <w:rsid w:val="005A5B17"/>
    <w:rsid w:val="005B0DEF"/>
    <w:rsid w:val="005B27CF"/>
    <w:rsid w:val="005B4E32"/>
    <w:rsid w:val="005B60AA"/>
    <w:rsid w:val="005C3FF7"/>
    <w:rsid w:val="005D01AC"/>
    <w:rsid w:val="005D3B2C"/>
    <w:rsid w:val="005D45DF"/>
    <w:rsid w:val="005D4C51"/>
    <w:rsid w:val="005D4D67"/>
    <w:rsid w:val="005D69FD"/>
    <w:rsid w:val="005E19CA"/>
    <w:rsid w:val="005E30C8"/>
    <w:rsid w:val="005E3B48"/>
    <w:rsid w:val="005E3D44"/>
    <w:rsid w:val="005F4FFC"/>
    <w:rsid w:val="005F798E"/>
    <w:rsid w:val="00604C9C"/>
    <w:rsid w:val="00605784"/>
    <w:rsid w:val="00606420"/>
    <w:rsid w:val="00607F2F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D74"/>
    <w:rsid w:val="00653AB6"/>
    <w:rsid w:val="00653EE5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91CD6"/>
    <w:rsid w:val="006A2309"/>
    <w:rsid w:val="006A2464"/>
    <w:rsid w:val="006A70FA"/>
    <w:rsid w:val="006A7381"/>
    <w:rsid w:val="006B010E"/>
    <w:rsid w:val="006B1C9B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7568"/>
    <w:rsid w:val="006C78B4"/>
    <w:rsid w:val="006D3278"/>
    <w:rsid w:val="006D38BC"/>
    <w:rsid w:val="006D4419"/>
    <w:rsid w:val="006D6BA8"/>
    <w:rsid w:val="006E00FB"/>
    <w:rsid w:val="006E2104"/>
    <w:rsid w:val="006E2B8A"/>
    <w:rsid w:val="006E2C34"/>
    <w:rsid w:val="006E34C1"/>
    <w:rsid w:val="006E6B5B"/>
    <w:rsid w:val="006F0BCE"/>
    <w:rsid w:val="006F0CA7"/>
    <w:rsid w:val="006F2EFD"/>
    <w:rsid w:val="006F432D"/>
    <w:rsid w:val="006F4ABD"/>
    <w:rsid w:val="006F6312"/>
    <w:rsid w:val="006F6DC0"/>
    <w:rsid w:val="006F764C"/>
    <w:rsid w:val="00700823"/>
    <w:rsid w:val="00710886"/>
    <w:rsid w:val="00713F4C"/>
    <w:rsid w:val="00713F82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AD9"/>
    <w:rsid w:val="007522FA"/>
    <w:rsid w:val="0075563C"/>
    <w:rsid w:val="007576C0"/>
    <w:rsid w:val="00757A8D"/>
    <w:rsid w:val="00760479"/>
    <w:rsid w:val="00763365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6335"/>
    <w:rsid w:val="00810281"/>
    <w:rsid w:val="0081276C"/>
    <w:rsid w:val="00812FF3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40AC5"/>
    <w:rsid w:val="00841F05"/>
    <w:rsid w:val="00845188"/>
    <w:rsid w:val="008472C2"/>
    <w:rsid w:val="008474DB"/>
    <w:rsid w:val="008564C4"/>
    <w:rsid w:val="0085747E"/>
    <w:rsid w:val="008633C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3F59"/>
    <w:rsid w:val="00886349"/>
    <w:rsid w:val="00886F4F"/>
    <w:rsid w:val="00891DE3"/>
    <w:rsid w:val="008948CA"/>
    <w:rsid w:val="0089733E"/>
    <w:rsid w:val="00897507"/>
    <w:rsid w:val="0089794F"/>
    <w:rsid w:val="00897F05"/>
    <w:rsid w:val="008A3001"/>
    <w:rsid w:val="008B1A73"/>
    <w:rsid w:val="008B2BFE"/>
    <w:rsid w:val="008C1059"/>
    <w:rsid w:val="008D59C2"/>
    <w:rsid w:val="008D6310"/>
    <w:rsid w:val="008D6601"/>
    <w:rsid w:val="008E049F"/>
    <w:rsid w:val="008E05B2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552E"/>
    <w:rsid w:val="00A256CB"/>
    <w:rsid w:val="00A26263"/>
    <w:rsid w:val="00A26B1C"/>
    <w:rsid w:val="00A27B8F"/>
    <w:rsid w:val="00A27EFD"/>
    <w:rsid w:val="00A326B3"/>
    <w:rsid w:val="00A346A1"/>
    <w:rsid w:val="00A41DD5"/>
    <w:rsid w:val="00A44D92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B00A8"/>
    <w:rsid w:val="00AB3325"/>
    <w:rsid w:val="00AB3D0E"/>
    <w:rsid w:val="00AB4918"/>
    <w:rsid w:val="00AB5B12"/>
    <w:rsid w:val="00AB5C44"/>
    <w:rsid w:val="00AC00AF"/>
    <w:rsid w:val="00AC1A98"/>
    <w:rsid w:val="00AC694A"/>
    <w:rsid w:val="00AD003F"/>
    <w:rsid w:val="00AD60BF"/>
    <w:rsid w:val="00AD6CC9"/>
    <w:rsid w:val="00AD7212"/>
    <w:rsid w:val="00AF0C5C"/>
    <w:rsid w:val="00AF2758"/>
    <w:rsid w:val="00AF58C1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CEE"/>
    <w:rsid w:val="00B6191D"/>
    <w:rsid w:val="00B624F3"/>
    <w:rsid w:val="00B6253B"/>
    <w:rsid w:val="00B63DEC"/>
    <w:rsid w:val="00B640F3"/>
    <w:rsid w:val="00B64160"/>
    <w:rsid w:val="00B656A3"/>
    <w:rsid w:val="00B670AD"/>
    <w:rsid w:val="00B670F5"/>
    <w:rsid w:val="00B7346B"/>
    <w:rsid w:val="00B80CAC"/>
    <w:rsid w:val="00B81E39"/>
    <w:rsid w:val="00B82D88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AD1"/>
    <w:rsid w:val="00BE6AE7"/>
    <w:rsid w:val="00BF1A91"/>
    <w:rsid w:val="00BF447E"/>
    <w:rsid w:val="00BF52FC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FC0"/>
    <w:rsid w:val="00C327D9"/>
    <w:rsid w:val="00C328DD"/>
    <w:rsid w:val="00C36E02"/>
    <w:rsid w:val="00C37DC9"/>
    <w:rsid w:val="00C409F6"/>
    <w:rsid w:val="00C41800"/>
    <w:rsid w:val="00C55E22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4DA4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F7D"/>
    <w:rsid w:val="00EA5835"/>
    <w:rsid w:val="00EB0D7A"/>
    <w:rsid w:val="00EB3175"/>
    <w:rsid w:val="00EB659F"/>
    <w:rsid w:val="00EC112C"/>
    <w:rsid w:val="00EC40DF"/>
    <w:rsid w:val="00EC5D55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C1FEA"/>
    <w:rsid w:val="00FC62E2"/>
    <w:rsid w:val="00FC75C4"/>
    <w:rsid w:val="00FD25A1"/>
    <w:rsid w:val="00FD4BD0"/>
    <w:rsid w:val="00FE279B"/>
    <w:rsid w:val="00FE7D17"/>
    <w:rsid w:val="00FE7DC6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BEB4-45A9-4DBF-9300-A2974DF0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Annanemkova</cp:lastModifiedBy>
  <cp:revision>18</cp:revision>
  <cp:lastPrinted>2013-11-19T08:41:00Z</cp:lastPrinted>
  <dcterms:created xsi:type="dcterms:W3CDTF">2013-11-14T06:42:00Z</dcterms:created>
  <dcterms:modified xsi:type="dcterms:W3CDTF">2016-08-24T07:06:00Z</dcterms:modified>
</cp:coreProperties>
</file>