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32543714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32543715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Pr="00786C9A" w:rsidRDefault="007D4C22">
      <w:pPr>
        <w:rPr>
          <w:lang w:val="en-US"/>
        </w:rPr>
      </w:pPr>
    </w:p>
    <w:p w:rsidR="007D4C22" w:rsidRDefault="007D4C22"/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734">
        <w:rPr>
          <w:sz w:val="28"/>
          <w:szCs w:val="28"/>
        </w:rPr>
        <w:t>О внесении изменений</w:t>
      </w:r>
    </w:p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734">
        <w:rPr>
          <w:sz w:val="28"/>
          <w:szCs w:val="28"/>
        </w:rPr>
        <w:t xml:space="preserve"> в </w:t>
      </w:r>
      <w:r w:rsidRPr="00D63B7A">
        <w:rPr>
          <w:sz w:val="28"/>
          <w:szCs w:val="28"/>
        </w:rPr>
        <w:t>приказ министерства управления финансами Самарской области</w:t>
      </w:r>
    </w:p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3B7A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63B7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63B7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D63B7A">
        <w:rPr>
          <w:sz w:val="28"/>
          <w:szCs w:val="28"/>
        </w:rPr>
        <w:t xml:space="preserve"> № 01-07/</w:t>
      </w:r>
      <w:r>
        <w:rPr>
          <w:sz w:val="28"/>
          <w:szCs w:val="28"/>
        </w:rPr>
        <w:t>37 «Об утверждении Порядка составления и ведения кассового плана исполнения областного бюджета, утверждения и доведения</w:t>
      </w:r>
    </w:p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главных распорядителей, распорядителей и получателей </w:t>
      </w:r>
      <w:proofErr w:type="gramStart"/>
      <w:r>
        <w:rPr>
          <w:sz w:val="28"/>
          <w:szCs w:val="28"/>
        </w:rPr>
        <w:t>средств областного бюджета предельных объемов оплаты денежных обязательств</w:t>
      </w:r>
      <w:proofErr w:type="gramEnd"/>
    </w:p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(предельных объемов финансирования)</w:t>
      </w:r>
      <w:r w:rsidRPr="00D63B7A">
        <w:rPr>
          <w:sz w:val="28"/>
          <w:szCs w:val="28"/>
        </w:rPr>
        <w:t>»</w:t>
      </w:r>
    </w:p>
    <w:p w:rsidR="00786C9A" w:rsidRDefault="00786C9A" w:rsidP="00786C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1. Внести в 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 следующие изменения: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в Порядке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финансирования):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lastRenderedPageBreak/>
        <w:t>в пункте 1.8 слова «, за исключением безвозмездных поступлений из местных бюджетов» исключить;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 xml:space="preserve">в пункте 4.6: 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абзац седьмой изложить в следующей редакции:</w:t>
      </w:r>
    </w:p>
    <w:p w:rsidR="00B50A52" w:rsidRPr="00782ED6" w:rsidRDefault="00B50A52" w:rsidP="00B50A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64FC">
        <w:rPr>
          <w:sz w:val="28"/>
          <w:szCs w:val="28"/>
        </w:rPr>
        <w:t xml:space="preserve">«В случае внесения в установленном порядке изменений в показатели сводной бюджетной росписи в связи с выделением бюджетных ассигнований из резервного фонда Правительства Самарской области по направлению, указанному в подпункте «а» пункта 3 </w:t>
      </w:r>
      <w:r w:rsidRPr="005964FC">
        <w:rPr>
          <w:rFonts w:eastAsia="Calibri"/>
          <w:sz w:val="28"/>
          <w:szCs w:val="28"/>
        </w:rPr>
        <w:t xml:space="preserve">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№ 972, министерство </w:t>
      </w:r>
      <w:r w:rsidRPr="005964FC">
        <w:rPr>
          <w:sz w:val="28"/>
          <w:szCs w:val="28"/>
        </w:rPr>
        <w:t>не позднее двух рабочих дней со дня получения</w:t>
      </w:r>
      <w:proofErr w:type="gramEnd"/>
      <w:r w:rsidRPr="005964FC">
        <w:rPr>
          <w:sz w:val="28"/>
          <w:szCs w:val="28"/>
        </w:rPr>
        <w:t xml:space="preserve"> </w:t>
      </w:r>
      <w:proofErr w:type="gramStart"/>
      <w:r w:rsidRPr="005964FC">
        <w:rPr>
          <w:sz w:val="28"/>
          <w:szCs w:val="28"/>
        </w:rPr>
        <w:t>письма главного распорядителя с указанием реквизитов правового акта об использовании бюджетных ассигнований резервного фонда Правительства Самарской области, а также соответствующей бюджетной классификации вносит в СПО показатели изменений в годовой прогноз перечислений (изменений в квартальный прогноз перечислений) по соответствующему главному распорядителю без прикрепления электронной копии изменений в годовой прогноз перечислений (изменений в квартальный прогноз перечислений).»;</w:t>
      </w:r>
      <w:proofErr w:type="gramEnd"/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в пункте 5.1 слово «ежемесячно» исключить, после слов «очередной месяц финансового года» дополнить словами «и дополнительных заявок»;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пункт 5.3 изложить в следующей редакции:</w:t>
      </w:r>
    </w:p>
    <w:p w:rsidR="00B50A52" w:rsidRPr="00AD5C33" w:rsidRDefault="00B50A52" w:rsidP="00B50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</w:rPr>
        <w:t>«5.3. Заявки, не соответствующие показателям кассового плана и (или) доведенным лимитам бюджетных обязательств, отклоняются министерством с указанием пр</w:t>
      </w:r>
      <w:r w:rsidR="009C7685">
        <w:rPr>
          <w:rFonts w:ascii="Times New Roman" w:hAnsi="Times New Roman" w:cs="Times New Roman"/>
          <w:sz w:val="28"/>
          <w:szCs w:val="28"/>
        </w:rPr>
        <w:t>ичины отклонения не позднее двух</w:t>
      </w:r>
      <w:r w:rsidRPr="00AD5C33">
        <w:rPr>
          <w:rFonts w:ascii="Times New Roman" w:hAnsi="Times New Roman" w:cs="Times New Roman"/>
          <w:sz w:val="28"/>
          <w:szCs w:val="28"/>
        </w:rPr>
        <w:t xml:space="preserve"> рабочих дней со дня их представления.</w:t>
      </w:r>
    </w:p>
    <w:p w:rsidR="00B50A52" w:rsidRPr="00AD5C33" w:rsidRDefault="00B50A52" w:rsidP="00B50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</w:rPr>
        <w:t xml:space="preserve">На основании заявок, соответствующих показателям кассового плана, доведенным лимитам бюджетных обязательств, министерство не </w:t>
      </w:r>
      <w:proofErr w:type="gramStart"/>
      <w:r w:rsidRPr="00AD5C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5C33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очередного месяца формирует проект реестра предельных объемов финансирования по главным распорядителям (далее - </w:t>
      </w:r>
      <w:r w:rsidRPr="00AD5C33">
        <w:rPr>
          <w:rFonts w:ascii="Times New Roman" w:hAnsi="Times New Roman" w:cs="Times New Roman"/>
          <w:sz w:val="28"/>
          <w:szCs w:val="28"/>
        </w:rPr>
        <w:lastRenderedPageBreak/>
        <w:t>реестр) на бумажном носителе по форме согласно приложению 10 к настоящему Порядку и представляет на утверждение руководителю департамента исполнения областного бюджета и отчетности министерства (лицу, его замещающему)</w:t>
      </w:r>
      <w:proofErr w:type="gramStart"/>
      <w:r w:rsidRPr="00AD5C3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D5C33">
        <w:rPr>
          <w:rFonts w:ascii="Times New Roman" w:hAnsi="Times New Roman" w:cs="Times New Roman"/>
          <w:sz w:val="28"/>
          <w:szCs w:val="28"/>
        </w:rPr>
        <w:t>;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пункт 5.4 изложить в следующей редакции: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 xml:space="preserve">«5.4. Министерство проставляет дату принятия реестра на заявках, соответствующих показателям кассового плана, доведенным лимитам бюджетных обязательств, и </w:t>
      </w:r>
      <w:r>
        <w:rPr>
          <w:sz w:val="28"/>
          <w:szCs w:val="28"/>
        </w:rPr>
        <w:t xml:space="preserve">на </w:t>
      </w:r>
      <w:r w:rsidRPr="00AD5C33">
        <w:rPr>
          <w:sz w:val="28"/>
          <w:szCs w:val="28"/>
        </w:rPr>
        <w:t>предельных объемах финансирования в СПО не позднее рабочего дня, следующего за днем утверждения реестра.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Министерство направляет главным распорядителям посредством СПО с использованием электронной подписи (а в случае отсутствия или невозможности применения электронной подписи – на бумажном носителе) уведомление о предельных объемах финансирования по форме согласно приложению 13 к настоящему Порядку приложением к выписке из соответствующего лицевого счета</w:t>
      </w:r>
      <w:proofErr w:type="gramStart"/>
      <w:r w:rsidRPr="00AD5C33">
        <w:rPr>
          <w:sz w:val="28"/>
          <w:szCs w:val="28"/>
        </w:rPr>
        <w:t>.»;</w:t>
      </w:r>
      <w:proofErr w:type="gramEnd"/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пункт 5.6 изложить в следующей редакции:</w:t>
      </w:r>
    </w:p>
    <w:p w:rsidR="00B50A52" w:rsidRPr="00AD5C33" w:rsidRDefault="00B50A52" w:rsidP="00B50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</w:rPr>
        <w:t>«5.6. Распределения, не соответствующие лимитам бюджетных обязательств и (или) предельным объемам финансирования, доведенным до главных распорядителей (распорядителей), отклоняются министерством с указанием причины отклонения  не позднее пяти рабочих дней со дня их представления.</w:t>
      </w:r>
    </w:p>
    <w:p w:rsidR="00B50A52" w:rsidRPr="00AD5C33" w:rsidRDefault="00B50A52" w:rsidP="00B50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</w:rPr>
        <w:t>Министерство проставляет дату принятия на распределениях, соответствующих лимитам бюджетных обязательств и предельным объемам финансирования, доведенным до главных распорядителей (распорядителей), не позднее пяти рабочих дней со дня их представления.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5C33">
        <w:rPr>
          <w:sz w:val="28"/>
          <w:szCs w:val="28"/>
        </w:rPr>
        <w:t xml:space="preserve">После принятия распределения предельных объемов финансирования министерство направляет распорядителям, получателям средств областного бюджета посредством СПО с использованием электронной подписи (а в случае отсутствия или невозможности применения электронной подписи – на бумажном носителе) уведомление о предельных объемах финансирования по </w:t>
      </w:r>
      <w:r w:rsidRPr="00AD5C33">
        <w:rPr>
          <w:sz w:val="28"/>
          <w:szCs w:val="28"/>
        </w:rPr>
        <w:lastRenderedPageBreak/>
        <w:t>форме согласно приложению 13 к настоящему Порядку приложением к выписке из соответствующего лицевого счета.»;</w:t>
      </w:r>
      <w:proofErr w:type="gramEnd"/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дополнить пунктом 5.9 следующего содержания: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 xml:space="preserve">«5.9. Главный распорядитель представляет в министерство дополнительные заявки в порядке, аналогичном порядку представления заявок, по мере необходимости доведения дополнительных предельных объемов финансирования. 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Дополнительные заявки, не соответствующие показателям кассового плана и (или) доведенным лимитам бюджетных обязательств, отклоняются министерством с указанием причины отклонения не позднее пяти рабочих дней, следующих за днем их представления.</w:t>
      </w:r>
    </w:p>
    <w:p w:rsidR="00B50A52" w:rsidRPr="00AD5C33" w:rsidRDefault="00B50A52" w:rsidP="00B50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33">
        <w:rPr>
          <w:rFonts w:ascii="Times New Roman" w:hAnsi="Times New Roman" w:cs="Times New Roman"/>
          <w:sz w:val="28"/>
          <w:szCs w:val="28"/>
        </w:rPr>
        <w:t>На основании дополнительных заявок, соответствующих показателям кассового плана, доведенным лимитам бюджетных обязательств, министерство формирует проект дополнительного реестра на бумажном носителе по форме согласно приложению 10 к настоящему Порядку и представляет на утверждение руководителю департамента исполнения областного бюджета и отчетности министерства (лицу, его замещающему).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 xml:space="preserve">Министерство проставляет дату принятия реестра на дополнительных заявках, соответствующих показателям кассового плана, доведенным лимитам бюджетных обязательств, и </w:t>
      </w:r>
      <w:r>
        <w:rPr>
          <w:sz w:val="28"/>
          <w:szCs w:val="28"/>
        </w:rPr>
        <w:t xml:space="preserve">на </w:t>
      </w:r>
      <w:r w:rsidRPr="00AD5C33">
        <w:rPr>
          <w:sz w:val="28"/>
          <w:szCs w:val="28"/>
        </w:rPr>
        <w:t>предельных объемах финансирования не позднее пяти рабочих дней со дня, следующего за днем представления дополнительных заявок.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Министерство направляет главным распорядителям посредством СПО с использованием электронной подписи (а в случае отсутствия или невозможности применения электронной подписи – на бумажном носителе) уведомление о предельных объемах финансирования по форме согласно приложению 13 к настоящему Порядку приложением к выписке из соответствующего лицевого счета</w:t>
      </w:r>
      <w:proofErr w:type="gramStart"/>
      <w:r w:rsidRPr="00AD5C33">
        <w:rPr>
          <w:sz w:val="28"/>
          <w:szCs w:val="28"/>
        </w:rPr>
        <w:t>.»;</w:t>
      </w:r>
      <w:proofErr w:type="gramEnd"/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в наименовании раздела 6 и пункте 6.1 слова «, за исключением безвозмездных поступлений из местных бюджетов» исключить;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E35767">
        <w:rPr>
          <w:sz w:val="28"/>
          <w:szCs w:val="28"/>
        </w:rPr>
        <w:lastRenderedPageBreak/>
        <w:t xml:space="preserve">в пункте 6.3 в абзаце третьем слова «указанном в пунктах 5.4 и 5.5 настоящего Порядка» заменить словами «аналогичном </w:t>
      </w:r>
      <w:proofErr w:type="gramStart"/>
      <w:r w:rsidRPr="00E35767">
        <w:rPr>
          <w:sz w:val="28"/>
          <w:szCs w:val="28"/>
        </w:rPr>
        <w:t>установленному</w:t>
      </w:r>
      <w:proofErr w:type="gramEnd"/>
      <w:r w:rsidRPr="00E35767">
        <w:rPr>
          <w:sz w:val="28"/>
          <w:szCs w:val="28"/>
        </w:rPr>
        <w:t xml:space="preserve"> разделом 5 настоящего Порядка с учетом особенностей, указанных в настоящем разделе»;</w:t>
      </w:r>
      <w:r w:rsidRPr="00AD5C33">
        <w:rPr>
          <w:sz w:val="28"/>
          <w:szCs w:val="28"/>
        </w:rPr>
        <w:t xml:space="preserve"> 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приложения 1 и 2 изложить в редакции согласно приложениям 1 и 2 к настоящему приказу соответственно;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дополнить приложением 13 в редакции согласно приложению 3 к настоящему приказу.</w:t>
      </w:r>
    </w:p>
    <w:p w:rsidR="00B50A52" w:rsidRPr="00AD5C33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B50A52" w:rsidRPr="00B94375" w:rsidRDefault="00B50A52" w:rsidP="00B50A52">
      <w:pPr>
        <w:spacing w:line="360" w:lineRule="auto"/>
        <w:ind w:firstLine="709"/>
        <w:jc w:val="both"/>
        <w:rPr>
          <w:sz w:val="28"/>
          <w:szCs w:val="28"/>
        </w:rPr>
      </w:pPr>
      <w:r w:rsidRPr="00AD5C33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786C9A" w:rsidRPr="00940734" w:rsidRDefault="00786C9A" w:rsidP="00786C9A">
      <w:pPr>
        <w:rPr>
          <w:sz w:val="28"/>
          <w:szCs w:val="28"/>
        </w:rPr>
      </w:pP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912407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912407">
          <w:pPr>
            <w:rPr>
              <w:lang w:val="en-US"/>
            </w:rPr>
          </w:pPr>
        </w:p>
      </w:sdtContent>
    </w:sdt>
    <w:p w:rsidR="008D4425" w:rsidRDefault="008D4425">
      <w:pPr>
        <w:rPr>
          <w:sz w:val="28"/>
          <w:szCs w:val="28"/>
        </w:rPr>
      </w:pPr>
    </w:p>
    <w:p w:rsidR="008D4425" w:rsidRDefault="008D4425">
      <w:pPr>
        <w:rPr>
          <w:sz w:val="28"/>
          <w:szCs w:val="28"/>
        </w:rPr>
      </w:pPr>
    </w:p>
    <w:p w:rsidR="008D4425" w:rsidRDefault="008D4425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B50A52" w:rsidRDefault="00B50A52">
      <w:pPr>
        <w:rPr>
          <w:sz w:val="28"/>
          <w:szCs w:val="28"/>
        </w:rPr>
      </w:pPr>
    </w:p>
    <w:p w:rsidR="00786C9A" w:rsidRPr="00786C9A" w:rsidRDefault="00786C9A">
      <w:pPr>
        <w:rPr>
          <w:lang w:val="en-US"/>
        </w:rPr>
      </w:pPr>
      <w:r>
        <w:rPr>
          <w:sz w:val="28"/>
          <w:szCs w:val="28"/>
        </w:rPr>
        <w:t>Стёпкина 2215725</w:t>
      </w:r>
    </w:p>
    <w:sectPr w:rsidR="00786C9A" w:rsidRPr="00786C9A" w:rsidSect="005802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3A" w:rsidRDefault="0083763A" w:rsidP="00580276">
      <w:r>
        <w:separator/>
      </w:r>
    </w:p>
  </w:endnote>
  <w:endnote w:type="continuationSeparator" w:id="0">
    <w:p w:rsidR="0083763A" w:rsidRDefault="0083763A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3A" w:rsidRDefault="0083763A" w:rsidP="00580276">
      <w:r>
        <w:separator/>
      </w:r>
    </w:p>
  </w:footnote>
  <w:footnote w:type="continuationSeparator" w:id="0">
    <w:p w:rsidR="0083763A" w:rsidRDefault="0083763A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912407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9C7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35351"/>
    <w:rsid w:val="00124297"/>
    <w:rsid w:val="00265DD2"/>
    <w:rsid w:val="00294453"/>
    <w:rsid w:val="00341446"/>
    <w:rsid w:val="0039195C"/>
    <w:rsid w:val="003B1F5B"/>
    <w:rsid w:val="003C337C"/>
    <w:rsid w:val="003E114C"/>
    <w:rsid w:val="00467DA7"/>
    <w:rsid w:val="00503CC5"/>
    <w:rsid w:val="005043A3"/>
    <w:rsid w:val="00580276"/>
    <w:rsid w:val="0066069F"/>
    <w:rsid w:val="006668D0"/>
    <w:rsid w:val="006B2BD5"/>
    <w:rsid w:val="006C4791"/>
    <w:rsid w:val="006D6DC1"/>
    <w:rsid w:val="00761D6C"/>
    <w:rsid w:val="007807D7"/>
    <w:rsid w:val="00782ED6"/>
    <w:rsid w:val="00786C9A"/>
    <w:rsid w:val="007D15E0"/>
    <w:rsid w:val="007D4C22"/>
    <w:rsid w:val="0083763A"/>
    <w:rsid w:val="00840711"/>
    <w:rsid w:val="008D4425"/>
    <w:rsid w:val="00912407"/>
    <w:rsid w:val="00924206"/>
    <w:rsid w:val="009375C5"/>
    <w:rsid w:val="009515BF"/>
    <w:rsid w:val="009C7685"/>
    <w:rsid w:val="00A30396"/>
    <w:rsid w:val="00A466DF"/>
    <w:rsid w:val="00AB0D75"/>
    <w:rsid w:val="00B15B08"/>
    <w:rsid w:val="00B50A52"/>
    <w:rsid w:val="00B73FEC"/>
    <w:rsid w:val="00B932E1"/>
    <w:rsid w:val="00B94375"/>
    <w:rsid w:val="00BD1EA6"/>
    <w:rsid w:val="00BD2CC1"/>
    <w:rsid w:val="00C17069"/>
    <w:rsid w:val="00C3673B"/>
    <w:rsid w:val="00CA7A5F"/>
    <w:rsid w:val="00D427DB"/>
    <w:rsid w:val="00D81583"/>
    <w:rsid w:val="00E17FDA"/>
    <w:rsid w:val="00E55644"/>
    <w:rsid w:val="00E63F62"/>
    <w:rsid w:val="00EB4148"/>
    <w:rsid w:val="00EC0446"/>
    <w:rsid w:val="00ED6D45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786C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22567F"/>
    <w:rsid w:val="002C76E6"/>
    <w:rsid w:val="0031429B"/>
    <w:rsid w:val="003A711F"/>
    <w:rsid w:val="0048131F"/>
    <w:rsid w:val="004A5121"/>
    <w:rsid w:val="00501251"/>
    <w:rsid w:val="00531DD5"/>
    <w:rsid w:val="00644A9E"/>
    <w:rsid w:val="00777A32"/>
    <w:rsid w:val="007A0430"/>
    <w:rsid w:val="00886DF1"/>
    <w:rsid w:val="008C6045"/>
    <w:rsid w:val="00942496"/>
    <w:rsid w:val="0099342A"/>
    <w:rsid w:val="00A46E54"/>
    <w:rsid w:val="00A6437B"/>
    <w:rsid w:val="00AF09F9"/>
    <w:rsid w:val="00CF52E6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Ретинская</cp:lastModifiedBy>
  <cp:revision>27</cp:revision>
  <dcterms:created xsi:type="dcterms:W3CDTF">2017-07-25T12:36:00Z</dcterms:created>
  <dcterms:modified xsi:type="dcterms:W3CDTF">2022-12-14T13:22:00Z</dcterms:modified>
</cp:coreProperties>
</file>